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8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938"/>
        <w:tblGridChange w:id="0">
          <w:tblGrid>
            <w:gridCol w:w="2518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Intitulé du projet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SEMAINE DE L’INCLUSION A L’ECOLE :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Ambition n°2 du PENC 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considérer la diversité des publics pour une école de la réussite pour tous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Descriptif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PENC : « Le principe de l’équité est le fil conducteur de la politique éducative de la Nouvelle-Calédonie. Celle-ci s’oblige en conséquence à mettre à disposition de chacun, et notamment des enfants en situation de handicap ou en difficulté, les moyens nécessaires dans une logique d’inclusion à leur formation et à leur réussite, en fonction de leur situation singulière ».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Art 8-1« Dans la logique d’une école inclusive, les élèves en situation de handicap bénéficient de mesures d’adaptation de leur scolarité conformément aux dispositions en vigueur. »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Principaux objectifs de la semaine de l’inclusion à l’école</w:t>
            </w:r>
          </w:p>
          <w:p w:rsidR="00000000" w:rsidDel="00000000" w:rsidP="00000000" w:rsidRDefault="00000000" w:rsidRPr="00000000" w14:paraId="0000000D">
            <w:pPr>
              <w:ind w:left="318" w:hanging="28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Sensibiliser aux différents types de handicaps</w:t>
            </w:r>
          </w:p>
          <w:p w:rsidR="00000000" w:rsidDel="00000000" w:rsidP="00000000" w:rsidRDefault="00000000" w:rsidRPr="00000000" w14:paraId="0000000E">
            <w:pPr>
              <w:ind w:left="318" w:hanging="28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Faire prendre conscience que la majorité des handicaps est invisible </w:t>
            </w:r>
          </w:p>
          <w:p w:rsidR="00000000" w:rsidDel="00000000" w:rsidP="00000000" w:rsidRDefault="00000000" w:rsidRPr="00000000" w14:paraId="0000000F">
            <w:pPr>
              <w:ind w:left="318" w:hanging="28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  Insister sur l’importance du terme « situation de handicap »</w:t>
            </w:r>
          </w:p>
          <w:p w:rsidR="00000000" w:rsidDel="00000000" w:rsidP="00000000" w:rsidRDefault="00000000" w:rsidRPr="00000000" w14:paraId="00000010">
            <w:pPr>
              <w:ind w:left="318" w:hanging="28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Développer chez les élèves l’acceptation des différences quelles qu’elles soient </w:t>
            </w:r>
          </w:p>
          <w:p w:rsidR="00000000" w:rsidDel="00000000" w:rsidP="00000000" w:rsidRDefault="00000000" w:rsidRPr="00000000" w14:paraId="00000011">
            <w:pPr>
              <w:ind w:left="318" w:hanging="28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Montrer que le handicap et la différence ne sont pas un frein à la réussite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Grandes lignes du projet fédérateur « semaine de l’inclusion scolaire» :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écoles ou classes inscrites s’engagent à mettre en lumière, lors de la semaine dédiée, différentes actions afin de promouvoir l’inclusion à l’école.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Ces activités pourront revêtir des formes différentes et s’adresser aux élèves comme à leurs parents.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Quelques exemples de projets ou d’animations qui pourraient être proposés 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Journée des chaussettes différentes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Ateliers de sensibilisation au handicap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Relever des défis inclusifs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Création d’une affiche qui affirme le droit à l’école pour tous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Création d’une maquette de classe idéale qui permettrait l’inclusion de tous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Permettre la rencontre, au sein de la classe, de l’école, de personnes en situation de handicap avec les élèves de l’école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Adapter un jeu de société pour le rendre accessible ou coopératif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Adapter une situation en EPS pour la rendre accessible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Ecrire des poèmes pour évoquer l’inclusion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Réalisation d’une vidéo pour mettre en avant les bénéfices de l’inclusion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actions pourront être mises en valeur sous la forme d’expositions, de vidéos, etc. et publiées sur le site de la DENC.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COMPÉTENCES VISÉES dans le domaine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Les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repères de progressivité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peuvent également être consultés.</w:t>
            </w:r>
          </w:p>
        </w:tc>
        <w:tc>
          <w:tcPr>
            <w:tcBorders>
              <w:top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0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05"/>
              <w:gridCol w:w="6402"/>
              <w:tblGridChange w:id="0">
                <w:tblGrid>
                  <w:gridCol w:w="1305"/>
                  <w:gridCol w:w="64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Domaines du socle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Compétences du socle en enseignement moral et civique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2,3,5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S’estimer et être capable d’écoute et d’empathie</w:t>
                  </w:r>
                </w:p>
                <w:p w:rsidR="00000000" w:rsidDel="00000000" w:rsidP="00000000" w:rsidRDefault="00000000" w:rsidRPr="00000000" w14:paraId="0000002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Accepter les différences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1,2,3,5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Développer les aptitudes au discernement et à la réflexion critique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3,4,5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Etre responsable envers autrui</w:t>
                  </w:r>
                </w:p>
                <w:p w:rsidR="00000000" w:rsidDel="00000000" w:rsidP="00000000" w:rsidRDefault="00000000" w:rsidRPr="00000000" w14:paraId="0000002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Savoir s’intégrer dans une démarche collaborative et enrichir son travail ou sa réflexion grâce à cette démarche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Pour le cycle 2 et 3 </w:t>
            </w:r>
            <w:r w:rsidDel="00000000" w:rsidR="00000000" w:rsidRPr="00000000">
              <w:rPr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Public concerné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Cycle 2 (CP, CE1, CE2)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Cycle 3 (CM1 et CM2)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Classes de CLIS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Calendrier, durée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semaine de l’inclusion aura lieu du 13 au 17 novembre 2023. Elle sera l’aboutissement des projets pédagogiques menés en amont.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différentes actions menées seront symboliquement mises en lumière et publiées le 3 décembre 2023 sur le site de la DENC, journée internationale des personnes en situation de handicap. 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Outils, supports, accompagnement, 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 ressources en ligne pourront être proposées à partir de la rentrée 2023 aux écoles qui se seront inscrites.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conseillers pédagogiques du Pôle BEP ASH pourront être sollicités pour accompagner les équipes/enseignants qui le souhaitent. 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Structure(s) d’accueil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Chaque école accueillant des classes inscrites au projet.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Financement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Aucun financement spécifique n’est prévu. 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Autre(s) élément(s) à prendre en compte pour l’inscription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Tout dossier incomplet et/ou arrivé hors délai ne pourra pas être retenu.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Coordonnateur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</w:t>
      </w:r>
    </w:p>
    <w:tbl>
      <w:tblPr>
        <w:tblStyle w:val="Table3"/>
        <w:tblW w:w="10490.0" w:type="dxa"/>
        <w:jc w:val="left"/>
        <w:tblInd w:w="-858.0" w:type="dxa"/>
        <w:tblLayout w:type="fixed"/>
        <w:tblLook w:val="0000"/>
      </w:tblPr>
      <w:tblGrid>
        <w:gridCol w:w="2552"/>
        <w:gridCol w:w="3544"/>
        <w:gridCol w:w="1559"/>
        <w:gridCol w:w="2835"/>
        <w:tblGridChange w:id="0">
          <w:tblGrid>
            <w:gridCol w:w="2552"/>
            <w:gridCol w:w="3544"/>
            <w:gridCol w:w="1559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– prénom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jwe4gk2p80hv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conseillers pédagogiques du Pôle BEP ASH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u w:val="single"/>
                <w:rtl w:val="0"/>
              </w:rPr>
              <w:t xml:space="preserve">marie-beatrice.lee@gouv.nc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269633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-709" w:firstLine="0"/>
        <w:rPr>
          <w:sz w:val="18"/>
          <w:szCs w:val="18"/>
        </w:rPr>
        <w:sectPr>
          <w:headerReference r:id="rId13" w:type="default"/>
          <w:pgSz w:h="16838" w:w="11906" w:orient="portrait"/>
          <w:pgMar w:bottom="539" w:top="993" w:left="1418" w:right="1418" w:header="284" w:footer="258"/>
          <w:pgNumType w:start="1"/>
        </w:sectPr>
      </w:pPr>
      <w:r w:rsidDel="00000000" w:rsidR="00000000" w:rsidRPr="00000000">
        <w:rPr>
          <w:sz w:val="18"/>
          <w:szCs w:val="18"/>
          <w:rtl w:val="0"/>
        </w:rPr>
        <w:t xml:space="preserve">  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Intitulé du projet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Semaine des mathématiques 2022 : concours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vis tes maths</w:t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743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2835"/>
              </w:tabs>
              <w:spacing w:after="12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2835"/>
              </w:tabs>
              <w:spacing w:after="12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Province</w:t>
              <w:tab/>
              <w:t xml:space="preserve">Circonscription :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1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2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3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4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5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6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52">
            <w:pPr>
              <w:tabs>
                <w:tab w:val="left" w:pos="2835"/>
              </w:tabs>
              <w:spacing w:after="12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Nom du CP référent de la circonscription ou, à défaut, de l’école 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935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Commune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:____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         Ecole</w:t>
              <w:tab/>
            </w:r>
          </w:p>
          <w:p w:rsidR="00000000" w:rsidDel="00000000" w:rsidP="00000000" w:rsidRDefault="00000000" w:rsidRPr="00000000" w14:paraId="00000054">
            <w:pPr>
              <w:tabs>
                <w:tab w:val="left" w:pos="547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547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Nom-prénom du directeur, de la directrice) : _____________________________ Ecole prioritaire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oui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9356"/>
              </w:tabs>
              <w:spacing w:after="12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9356"/>
              </w:tabs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Adresse    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2552"/>
                <w:tab w:val="left" w:pos="9356"/>
              </w:tabs>
              <w:spacing w:after="12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2552"/>
                <w:tab w:val="left" w:pos="9356"/>
              </w:tabs>
              <w:spacing w:after="12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Code postal :</w:t>
              <w:tab/>
              <w:t xml:space="preserve"> Commune </w:t>
              <w:tab/>
            </w:r>
          </w:p>
          <w:p w:rsidR="00000000" w:rsidDel="00000000" w:rsidP="00000000" w:rsidRDefault="00000000" w:rsidRPr="00000000" w14:paraId="0000005A">
            <w:pPr>
              <w:tabs>
                <w:tab w:val="left" w:pos="935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935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Téléphone : /____/____/___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  Fax : /____/____/____/  courriel </w:t>
              <w:tab/>
            </w:r>
          </w:p>
          <w:p w:rsidR="00000000" w:rsidDel="00000000" w:rsidP="00000000" w:rsidRDefault="00000000" w:rsidRPr="00000000" w14:paraId="0000005C">
            <w:pPr>
              <w:tabs>
                <w:tab w:val="left" w:pos="9356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5"/>
              <w:tblW w:w="935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05"/>
              <w:gridCol w:w="1276"/>
              <w:gridCol w:w="992"/>
              <w:gridCol w:w="1139"/>
              <w:gridCol w:w="1139"/>
              <w:tblGridChange w:id="0">
                <w:tblGrid>
                  <w:gridCol w:w="4805"/>
                  <w:gridCol w:w="1276"/>
                  <w:gridCol w:w="992"/>
                  <w:gridCol w:w="1139"/>
                  <w:gridCol w:w="1139"/>
                </w:tblGrid>
              </w:tblGridChange>
            </w:tblGrid>
            <w:tr>
              <w:trPr>
                <w:cantSplit w:val="0"/>
                <w:trHeight w:val="716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Nom et prénom des enseignants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Niveau(x) de la classe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Nb élèves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color w:val="80808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808080"/>
                      <w:sz w:val="18"/>
                      <w:szCs w:val="18"/>
                      <w:rtl w:val="0"/>
                    </w:rPr>
                    <w:t xml:space="preserve">dont élèves boursiers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color w:val="80808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808080"/>
                      <w:sz w:val="18"/>
                      <w:szCs w:val="18"/>
                      <w:rtl w:val="0"/>
                    </w:rPr>
                    <w:t xml:space="preserve">Dont en situation de handicap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18"/>
                      <w:szCs w:val="18"/>
                      <w:rtl w:val="0"/>
                    </w:rPr>
                    <w:t xml:space="preserve">(sans objet)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18"/>
                      <w:szCs w:val="18"/>
                      <w:rtl w:val="0"/>
                    </w:rPr>
                    <w:t xml:space="preserve">(sans objet)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tabs>
                <w:tab w:val="left" w:pos="5475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9F">
            <w:pPr>
              <w:tabs>
                <w:tab w:val="left" w:pos="5475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  </w:t>
            </w:r>
          </w:p>
        </w:tc>
      </w:tr>
      <w:tr>
        <w:trPr>
          <w:cantSplit w:val="0"/>
          <w:trHeight w:val="387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9356"/>
              </w:tabs>
              <w:spacing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Descriptif de la production finale envisagée :</w:t>
              <w:tab/>
            </w:r>
          </w:p>
          <w:p w:rsidR="00000000" w:rsidDel="00000000" w:rsidP="00000000" w:rsidRDefault="00000000" w:rsidRPr="00000000" w14:paraId="000000A1">
            <w:pPr>
              <w:tabs>
                <w:tab w:val="left" w:pos="9356"/>
              </w:tabs>
              <w:spacing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A2">
            <w:pPr>
              <w:tabs>
                <w:tab w:val="left" w:pos="9356"/>
              </w:tabs>
              <w:spacing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A3">
            <w:pPr>
              <w:tabs>
                <w:tab w:val="left" w:pos="9356"/>
              </w:tabs>
              <w:spacing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A4">
            <w:pPr>
              <w:tabs>
                <w:tab w:val="left" w:pos="6804"/>
              </w:tabs>
              <w:spacing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Votre projet est-il en lien avec un autre projet fédérateur ?  </w:t>
              <w:br w:type="textWrapping"/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Non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Oui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(Lequel 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 xml:space="preserve">)</w:t>
            </w:r>
          </w:p>
          <w:p w:rsidR="00000000" w:rsidDel="00000000" w:rsidP="00000000" w:rsidRDefault="00000000" w:rsidRPr="00000000" w14:paraId="000000A5">
            <w:pPr>
              <w:tabs>
                <w:tab w:val="left" w:pos="6804"/>
              </w:tabs>
              <w:spacing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Sollicitez-vous une aide / formation facultative pour ce projet (voir aussi plan de formation 2022) ou une action en lien ?</w:t>
            </w:r>
          </w:p>
          <w:p w:rsidR="00000000" w:rsidDel="00000000" w:rsidP="00000000" w:rsidRDefault="00000000" w:rsidRPr="00000000" w14:paraId="000000A6">
            <w:pPr>
              <w:tabs>
                <w:tab w:val="left" w:pos="2835"/>
                <w:tab w:val="left" w:pos="5670"/>
              </w:tabs>
              <w:spacing w:after="12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Non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Oui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(Si oui précisez 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ab/>
              <w:tab/>
              <w:tab/>
              <w:t xml:space="preserve">)</w:t>
            </w:r>
          </w:p>
          <w:p w:rsidR="00000000" w:rsidDel="00000000" w:rsidP="00000000" w:rsidRDefault="00000000" w:rsidRPr="00000000" w14:paraId="000000A7">
            <w:pPr>
              <w:tabs>
                <w:tab w:val="left" w:pos="2835"/>
                <w:tab w:val="left" w:pos="567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5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18"/>
              <w:gridCol w:w="3118"/>
              <w:gridCol w:w="3119"/>
              <w:tblGridChange w:id="0">
                <w:tblGrid>
                  <w:gridCol w:w="3118"/>
                  <w:gridCol w:w="3118"/>
                  <w:gridCol w:w="3119"/>
                </w:tblGrid>
              </w:tblGridChange>
            </w:tblGrid>
            <w:tr>
              <w:trPr>
                <w:cantSplit w:val="0"/>
                <w:trHeight w:val="140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CACHET du DIRECTEUR d’ÉCOLE</w:t>
                  </w:r>
                </w:p>
                <w:p w:rsidR="00000000" w:rsidDel="00000000" w:rsidP="00000000" w:rsidRDefault="00000000" w:rsidRPr="00000000" w14:paraId="000000A9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Date et signature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AVIS de l’IEP</w:t>
                  </w:r>
                </w:p>
                <w:p w:rsidR="00000000" w:rsidDel="00000000" w:rsidP="00000000" w:rsidRDefault="00000000" w:rsidRPr="00000000" w14:paraId="000000A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 Favorable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 Défavorable</w:t>
                  </w:r>
                </w:p>
                <w:p w:rsidR="00000000" w:rsidDel="00000000" w:rsidP="00000000" w:rsidRDefault="00000000" w:rsidRPr="00000000" w14:paraId="000000AC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Date et 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DÉCISION de la COMMISSION</w:t>
                  </w:r>
                </w:p>
                <w:p w:rsidR="00000000" w:rsidDel="00000000" w:rsidP="00000000" w:rsidRDefault="00000000" w:rsidRPr="00000000" w14:paraId="000000AE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 Favorable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 Défavorable</w:t>
                  </w:r>
                </w:p>
                <w:p w:rsidR="00000000" w:rsidDel="00000000" w:rsidP="00000000" w:rsidRDefault="00000000" w:rsidRPr="00000000" w14:paraId="000000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Date et 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0">
            <w:pPr>
              <w:tabs>
                <w:tab w:val="left" w:pos="477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477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 </w:t>
            </w:r>
          </w:p>
        </w:tc>
      </w:tr>
    </w:tbl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Rappel 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la fiche budgétaire est sans objet pour ce projet fédérateur.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14" w:type="default"/>
      <w:type w:val="nextPage"/>
      <w:pgSz w:h="16838" w:w="11906" w:orient="portrait"/>
      <w:pgMar w:bottom="539" w:top="993" w:left="1418" w:right="1418" w:header="284" w:footer="2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7"/>
      <w:tblW w:w="9747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88"/>
      <w:gridCol w:w="6100"/>
      <w:gridCol w:w="1559"/>
      <w:tblGridChange w:id="0">
        <w:tblGrid>
          <w:gridCol w:w="2088"/>
          <w:gridCol w:w="6100"/>
          <w:gridCol w:w="1559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b="0" l="0" r="0" t="0"/>
                <wp:wrapNone/>
                <wp:docPr descr="logo_denc" id="6" name="image1.jpg"/>
                <a:graphic>
                  <a:graphicData uri="http://schemas.openxmlformats.org/drawingml/2006/picture">
                    <pic:pic>
                      <pic:nvPicPr>
                        <pic:cNvPr descr="logo_denc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PROJET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FÉDÉRATEUR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– Inscription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2023</w:t>
          </w:r>
        </w:p>
      </w:tc>
    </w:tr>
  </w:tbl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747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88"/>
      <w:gridCol w:w="6100"/>
      <w:gridCol w:w="1559"/>
      <w:tblGridChange w:id="0">
        <w:tblGrid>
          <w:gridCol w:w="2088"/>
          <w:gridCol w:w="6100"/>
          <w:gridCol w:w="1559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B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b="0" l="0" r="0" t="0"/>
                <wp:wrapNone/>
                <wp:docPr descr="logo_denc" id="7" name="image1.jpg"/>
                <a:graphic>
                  <a:graphicData uri="http://schemas.openxmlformats.org/drawingml/2006/picture">
                    <pic:pic>
                      <pic:nvPicPr>
                        <pic:cNvPr descr="logo_denc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PROJET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FÉDÉRATEUR : MIEUX SE CONNAITRE POUR MIEUX S’INCLURE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Fiche de présentation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2023</w:t>
          </w:r>
        </w:p>
      </w:tc>
    </w:tr>
  </w:tbl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Pr>
      <w:sz w:val="24"/>
      <w:szCs w:val="24"/>
      <w:lang w:eastAsia="ja-JP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semiHidden w:val="1"/>
    <w:rsid w:val="005C229E"/>
    <w:rPr>
      <w:rFonts w:ascii="Tahoma" w:cs="Tahoma" w:hAnsi="Tahoma"/>
      <w:sz w:val="16"/>
      <w:szCs w:val="16"/>
    </w:rPr>
  </w:style>
  <w:style w:type="character" w:styleId="PieddepageCar" w:customStyle="1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styleId="Lienhypertexte">
    <w:name w:val="Hyperlink"/>
    <w:rsid w:val="00A53724"/>
    <w:rPr>
      <w:color w:val="0000ff"/>
      <w:u w:val="single"/>
    </w:rPr>
  </w:style>
  <w:style w:type="character" w:styleId="Marquedecommentaire">
    <w:name w:val="annotation reference"/>
    <w:rsid w:val="00246565"/>
    <w:rPr>
      <w:sz w:val="16"/>
      <w:szCs w:val="16"/>
    </w:rPr>
  </w:style>
  <w:style w:type="paragraph" w:styleId="Commentaire">
    <w:name w:val="annotation text"/>
    <w:basedOn w:val="Normal"/>
    <w:link w:val="CommentaireCar"/>
    <w:rsid w:val="00246565"/>
    <w:rPr>
      <w:sz w:val="20"/>
      <w:szCs w:val="20"/>
    </w:rPr>
  </w:style>
  <w:style w:type="character" w:styleId="CommentaireCar" w:customStyle="1">
    <w:name w:val="Commentaire Car"/>
    <w:link w:val="Commentaire"/>
    <w:rsid w:val="00246565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246565"/>
    <w:rPr>
      <w:b w:val="1"/>
      <w:bCs w:val="1"/>
    </w:rPr>
  </w:style>
  <w:style w:type="character" w:styleId="ObjetducommentaireCar" w:customStyle="1">
    <w:name w:val="Objet du commentaire Car"/>
    <w:link w:val="Objetducommentaire"/>
    <w:rsid w:val="00246565"/>
    <w:rPr>
      <w:b w:val="1"/>
      <w:bCs w:val="1"/>
      <w:lang w:eastAsia="ja-JP"/>
    </w:rPr>
  </w:style>
  <w:style w:type="character" w:styleId="Lienhypertextesuivivisit">
    <w:name w:val="FollowedHyperlink"/>
    <w:rsid w:val="00246565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 w:val="1"/>
    <w:rsid w:val="0017363F"/>
    <w:rPr>
      <w:color w:val="808080"/>
    </w:rPr>
  </w:style>
  <w:style w:type="paragraph" w:styleId="Titre">
    <w:name w:val="Title"/>
    <w:basedOn w:val="Normal"/>
    <w:next w:val="Normal"/>
    <w:link w:val="TitreCar"/>
    <w:qFormat w:val="1"/>
    <w:rsid w:val="0017363F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reCar" w:customStyle="1">
    <w:name w:val="Titre Car"/>
    <w:basedOn w:val="Policepardfaut"/>
    <w:link w:val="Titre"/>
    <w:rsid w:val="0017363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ja-JP"/>
    </w:rPr>
  </w:style>
  <w:style w:type="paragraph" w:styleId="Paragraphedeliste">
    <w:name w:val="List Paragraph"/>
    <w:basedOn w:val="Normal"/>
    <w:uiPriority w:val="34"/>
    <w:qFormat w:val="1"/>
    <w:rsid w:val="005A297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82C1A"/>
    <w:pPr>
      <w:spacing w:after="100" w:afterAutospacing="1" w:before="100" w:beforeAutospacing="1"/>
    </w:pPr>
    <w:rPr>
      <w:rFonts w:eastAsia="Times New Roman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denc.gouv.nc/ressources-pedagogiques/reforme-de-lenseignement-primaire-2021-les-reperes-de-progressivi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tQiH3ni6ewtIQ/qhj9z7sEOTg==">AMUW2mXLOtQH6s0git2/gDtbyGzelk/1iYt+KuYEUrj/uY8701nXEcaVn3bgIiQ10PGsnbLkQO3PjvRp9I4xHxgBQBUJY4A519DnMjdkVoS/jFjEclbKE6N65npQ+q/62+VS32MxF2Pu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2022-11-24T03:47:00Z</dcterms:created>
  <dc:creator>Xavier Boussemart</dc:creator>
</cp:coreProperties>
</file>