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14" w:rsidRPr="004810B5" w:rsidRDefault="0001760C" w:rsidP="0001760C">
      <w:pPr>
        <w:pStyle w:val="Titre"/>
        <w:ind w:left="0" w:right="2093"/>
        <w:rPr>
          <w:color w:val="006FC0"/>
          <w:sz w:val="36"/>
          <w:szCs w:val="36"/>
          <w:u w:val="single"/>
        </w:rPr>
      </w:pPr>
      <w:r w:rsidRPr="004810B5">
        <w:rPr>
          <w:color w:val="006FC0"/>
          <w:sz w:val="36"/>
          <w:szCs w:val="36"/>
        </w:rPr>
        <w:t xml:space="preserve">           </w:t>
      </w:r>
      <w:r w:rsidR="005037FF" w:rsidRPr="004810B5">
        <w:rPr>
          <w:color w:val="006FC0"/>
          <w:sz w:val="36"/>
          <w:szCs w:val="36"/>
        </w:rPr>
        <w:t xml:space="preserve"> </w:t>
      </w:r>
      <w:r w:rsidR="00FE465A" w:rsidRPr="004810B5">
        <w:rPr>
          <w:color w:val="006FC0"/>
          <w:sz w:val="36"/>
          <w:szCs w:val="36"/>
          <w:u w:val="single"/>
        </w:rPr>
        <w:t>La</w:t>
      </w:r>
      <w:r w:rsidR="00FE465A" w:rsidRPr="004810B5">
        <w:rPr>
          <w:color w:val="006FC0"/>
          <w:spacing w:val="-3"/>
          <w:sz w:val="36"/>
          <w:szCs w:val="36"/>
          <w:u w:val="single"/>
        </w:rPr>
        <w:t xml:space="preserve"> </w:t>
      </w:r>
      <w:r w:rsidR="003A05B1" w:rsidRPr="004810B5">
        <w:rPr>
          <w:color w:val="006FC0"/>
          <w:sz w:val="36"/>
          <w:szCs w:val="36"/>
          <w:u w:val="single"/>
        </w:rPr>
        <w:t>t</w:t>
      </w:r>
      <w:r w:rsidR="00FE465A" w:rsidRPr="004810B5">
        <w:rPr>
          <w:color w:val="006FC0"/>
          <w:sz w:val="36"/>
          <w:szCs w:val="36"/>
          <w:u w:val="single"/>
        </w:rPr>
        <w:t>able</w:t>
      </w:r>
      <w:r w:rsidR="00FE465A" w:rsidRPr="004810B5">
        <w:rPr>
          <w:color w:val="006FC0"/>
          <w:spacing w:val="-3"/>
          <w:sz w:val="36"/>
          <w:szCs w:val="36"/>
          <w:u w:val="single"/>
        </w:rPr>
        <w:t xml:space="preserve"> </w:t>
      </w:r>
      <w:r w:rsidR="003A05B1" w:rsidRPr="004810B5">
        <w:rPr>
          <w:color w:val="006FC0"/>
          <w:sz w:val="36"/>
          <w:szCs w:val="36"/>
          <w:u w:val="single"/>
        </w:rPr>
        <w:t>d'a</w:t>
      </w:r>
      <w:r w:rsidR="00FE465A" w:rsidRPr="004810B5">
        <w:rPr>
          <w:color w:val="006FC0"/>
          <w:sz w:val="36"/>
          <w:szCs w:val="36"/>
          <w:u w:val="single"/>
        </w:rPr>
        <w:t>ppui</w:t>
      </w:r>
      <w:r w:rsidRPr="004810B5">
        <w:rPr>
          <w:color w:val="006FC0"/>
          <w:sz w:val="36"/>
          <w:szCs w:val="36"/>
          <w:u w:val="single"/>
        </w:rPr>
        <w:t xml:space="preserve"> </w:t>
      </w:r>
    </w:p>
    <w:p w:rsidR="003A05B1" w:rsidRPr="009C7F23" w:rsidRDefault="0001760C" w:rsidP="0041495E">
      <w:pPr>
        <w:pStyle w:val="Titre"/>
        <w:tabs>
          <w:tab w:val="left" w:pos="3119"/>
          <w:tab w:val="left" w:pos="9356"/>
        </w:tabs>
        <w:ind w:left="0" w:right="251"/>
      </w:pPr>
      <w:r w:rsidRPr="0001760C">
        <w:rPr>
          <w:b w:val="0"/>
          <w:sz w:val="22"/>
          <w:szCs w:val="22"/>
        </w:rPr>
        <w:t>(</w:t>
      </w:r>
      <w:r w:rsidRPr="006D7450">
        <w:rPr>
          <w:b w:val="0"/>
          <w:w w:val="115"/>
          <w:sz w:val="22"/>
          <w:szCs w:val="22"/>
        </w:rPr>
        <w:t>Dispositif</w:t>
      </w:r>
      <w:r w:rsidRPr="006D7450">
        <w:rPr>
          <w:b w:val="0"/>
          <w:spacing w:val="-10"/>
          <w:w w:val="115"/>
          <w:sz w:val="22"/>
          <w:szCs w:val="22"/>
        </w:rPr>
        <w:t xml:space="preserve"> </w:t>
      </w:r>
      <w:r w:rsidRPr="006D7450">
        <w:rPr>
          <w:b w:val="0"/>
          <w:w w:val="115"/>
          <w:sz w:val="22"/>
          <w:szCs w:val="22"/>
        </w:rPr>
        <w:t>inauguré</w:t>
      </w:r>
      <w:r w:rsidRPr="006D7450">
        <w:rPr>
          <w:b w:val="0"/>
          <w:spacing w:val="-10"/>
          <w:w w:val="115"/>
          <w:sz w:val="22"/>
          <w:szCs w:val="22"/>
        </w:rPr>
        <w:t xml:space="preserve"> </w:t>
      </w:r>
      <w:r w:rsidRPr="006D7450">
        <w:rPr>
          <w:b w:val="0"/>
          <w:w w:val="115"/>
          <w:sz w:val="22"/>
          <w:szCs w:val="22"/>
        </w:rPr>
        <w:t>et</w:t>
      </w:r>
      <w:r w:rsidRPr="006D7450">
        <w:rPr>
          <w:b w:val="0"/>
          <w:spacing w:val="-10"/>
          <w:w w:val="115"/>
          <w:sz w:val="22"/>
          <w:szCs w:val="22"/>
        </w:rPr>
        <w:t xml:space="preserve"> </w:t>
      </w:r>
      <w:r w:rsidRPr="006D7450">
        <w:rPr>
          <w:b w:val="0"/>
          <w:w w:val="115"/>
          <w:sz w:val="22"/>
          <w:szCs w:val="22"/>
        </w:rPr>
        <w:t>formalisé</w:t>
      </w:r>
      <w:r w:rsidRPr="006D7450">
        <w:rPr>
          <w:b w:val="0"/>
          <w:spacing w:val="-10"/>
          <w:w w:val="115"/>
          <w:sz w:val="22"/>
          <w:szCs w:val="22"/>
        </w:rPr>
        <w:t xml:space="preserve"> </w:t>
      </w:r>
      <w:r w:rsidRPr="006D7450">
        <w:rPr>
          <w:b w:val="0"/>
          <w:w w:val="115"/>
          <w:sz w:val="22"/>
          <w:szCs w:val="22"/>
        </w:rPr>
        <w:t>par</w:t>
      </w:r>
      <w:r w:rsidRPr="006D7450">
        <w:rPr>
          <w:b w:val="0"/>
          <w:spacing w:val="-10"/>
          <w:w w:val="115"/>
          <w:sz w:val="22"/>
          <w:szCs w:val="22"/>
        </w:rPr>
        <w:t xml:space="preserve"> </w:t>
      </w:r>
      <w:r w:rsidRPr="006D7450">
        <w:rPr>
          <w:b w:val="0"/>
          <w:w w:val="115"/>
          <w:sz w:val="22"/>
          <w:szCs w:val="22"/>
        </w:rPr>
        <w:t>Battut</w:t>
      </w:r>
      <w:r w:rsidRPr="006D7450">
        <w:rPr>
          <w:b w:val="0"/>
          <w:spacing w:val="-10"/>
          <w:w w:val="115"/>
          <w:sz w:val="22"/>
          <w:szCs w:val="22"/>
        </w:rPr>
        <w:t xml:space="preserve"> </w:t>
      </w:r>
      <w:r w:rsidRPr="006D7450">
        <w:rPr>
          <w:b w:val="0"/>
          <w:w w:val="115"/>
          <w:sz w:val="22"/>
          <w:szCs w:val="22"/>
        </w:rPr>
        <w:t>et</w:t>
      </w:r>
      <w:r w:rsidRPr="006D7450">
        <w:rPr>
          <w:b w:val="0"/>
          <w:spacing w:val="-10"/>
          <w:w w:val="115"/>
          <w:sz w:val="22"/>
          <w:szCs w:val="22"/>
        </w:rPr>
        <w:t xml:space="preserve"> </w:t>
      </w:r>
      <w:r w:rsidRPr="006D7450">
        <w:rPr>
          <w:b w:val="0"/>
          <w:w w:val="115"/>
          <w:sz w:val="22"/>
          <w:szCs w:val="22"/>
        </w:rPr>
        <w:t>Bensimhon</w:t>
      </w:r>
      <w:r w:rsidRPr="006D7450">
        <w:rPr>
          <w:b w:val="0"/>
          <w:spacing w:val="-44"/>
          <w:w w:val="115"/>
          <w:sz w:val="22"/>
          <w:szCs w:val="22"/>
        </w:rPr>
        <w:t xml:space="preserve"> </w:t>
      </w:r>
      <w:r w:rsidRPr="006D7450">
        <w:rPr>
          <w:b w:val="0"/>
          <w:w w:val="110"/>
          <w:sz w:val="22"/>
          <w:szCs w:val="22"/>
        </w:rPr>
        <w:t>(2006))</w:t>
      </w:r>
    </w:p>
    <w:p w:rsidR="004810B5" w:rsidRDefault="004810B5" w:rsidP="00CC6A28">
      <w:pPr>
        <w:pStyle w:val="Corpsdetexte"/>
        <w:spacing w:before="121"/>
        <w:ind w:right="309"/>
        <w:jc w:val="both"/>
      </w:pPr>
      <w:r w:rsidRPr="00E1727A">
        <w:t>Un dispositif au service de la différenciation pédago</w:t>
      </w:r>
      <w:bookmarkStart w:id="0" w:name="_GoBack"/>
      <w:bookmarkEnd w:id="0"/>
      <w:r w:rsidRPr="00E1727A">
        <w:t>gique et du langage oral en développant les types de discours (raconter, expliciter, relater, questionner, argumenter, justifier ….</w:t>
      </w:r>
      <w:r>
        <w:t>)</w:t>
      </w:r>
      <w:r w:rsidRPr="00E1727A">
        <w:t xml:space="preserve"> </w:t>
      </w:r>
    </w:p>
    <w:p w:rsidR="0041495E" w:rsidRDefault="003B4F05" w:rsidP="00CC6A28">
      <w:pPr>
        <w:pStyle w:val="Corpsdetexte"/>
        <w:spacing w:before="121"/>
        <w:ind w:right="309"/>
        <w:jc w:val="both"/>
        <w:rPr>
          <w:i/>
        </w:rPr>
      </w:pPr>
      <w:r w:rsidRPr="0041495E">
        <w:rPr>
          <w:i/>
        </w:rPr>
        <w:t>R</w:t>
      </w:r>
      <w:r w:rsidR="00623BF2" w:rsidRPr="0041495E">
        <w:rPr>
          <w:i/>
        </w:rPr>
        <w:t>assembler des élèves autour d’</w:t>
      </w:r>
      <w:r w:rsidR="002211B4" w:rsidRPr="0041495E">
        <w:rPr>
          <w:i/>
        </w:rPr>
        <w:t>une table</w:t>
      </w:r>
      <w:r w:rsidR="00623BF2">
        <w:rPr>
          <w:i/>
        </w:rPr>
        <w:t xml:space="preserve"> dite Table d’</w:t>
      </w:r>
      <w:r w:rsidR="0002766A">
        <w:rPr>
          <w:i/>
        </w:rPr>
        <w:t>A</w:t>
      </w:r>
      <w:r w:rsidR="002211B4" w:rsidRPr="002211B4">
        <w:rPr>
          <w:i/>
        </w:rPr>
        <w:t>ppui pour gérer l’hétérogénéité, faire évoluer les postures enseignantes (passer d’une posture de contrôle à</w:t>
      </w:r>
      <w:r w:rsidR="00B67B30">
        <w:rPr>
          <w:i/>
        </w:rPr>
        <w:t xml:space="preserve"> une posture d’accompagnement).</w:t>
      </w:r>
    </w:p>
    <w:p w:rsidR="00E1727A" w:rsidRDefault="00B67B30" w:rsidP="00CC6A28">
      <w:pPr>
        <w:pStyle w:val="Corpsdetexte"/>
        <w:spacing w:before="121"/>
        <w:ind w:right="309"/>
        <w:jc w:val="both"/>
        <w:rPr>
          <w:i/>
        </w:rPr>
      </w:pPr>
      <w:r w:rsidRPr="0041495E">
        <w:rPr>
          <w:i/>
        </w:rPr>
        <w:t xml:space="preserve">Objectifs : </w:t>
      </w:r>
      <w:r w:rsidR="002211B4" w:rsidRPr="0041495E">
        <w:rPr>
          <w:i/>
        </w:rPr>
        <w:t xml:space="preserve">développer l’explicitation de </w:t>
      </w:r>
      <w:r w:rsidR="00B718D8" w:rsidRPr="0041495E">
        <w:rPr>
          <w:i/>
        </w:rPr>
        <w:t>pro</w:t>
      </w:r>
      <w:r w:rsidR="002211B4" w:rsidRPr="0041495E">
        <w:rPr>
          <w:i/>
        </w:rPr>
        <w:t xml:space="preserve">cédures, </w:t>
      </w:r>
      <w:r w:rsidR="0082185F" w:rsidRPr="0041495E">
        <w:rPr>
          <w:i/>
        </w:rPr>
        <w:t>résoudre des problèmes liés à l’apprentissage,</w:t>
      </w:r>
      <w:r w:rsidR="001218EE" w:rsidRPr="0041495E">
        <w:rPr>
          <w:i/>
        </w:rPr>
        <w:t xml:space="preserve"> expose</w:t>
      </w:r>
      <w:r w:rsidR="0041495E">
        <w:rPr>
          <w:i/>
        </w:rPr>
        <w:t>r des démarches / des méthodes</w:t>
      </w:r>
      <w:r w:rsidR="0041495E" w:rsidRPr="0041495E">
        <w:rPr>
          <w:i/>
        </w:rPr>
        <w:t>,</w:t>
      </w:r>
      <w:r w:rsidR="00A37B2B" w:rsidRPr="0041495E">
        <w:rPr>
          <w:i/>
        </w:rPr>
        <w:t xml:space="preserve"> </w:t>
      </w:r>
      <w:r w:rsidR="002211B4" w:rsidRPr="0041495E">
        <w:rPr>
          <w:i/>
        </w:rPr>
        <w:t>favoriser une posture réflexive de l’élève.</w:t>
      </w:r>
    </w:p>
    <w:p w:rsidR="00CC09B1" w:rsidRPr="00CC09B1" w:rsidRDefault="00CC09B1" w:rsidP="00CC6A28">
      <w:pPr>
        <w:pStyle w:val="Titre1"/>
        <w:tabs>
          <w:tab w:val="left" w:pos="233"/>
        </w:tabs>
        <w:spacing w:before="121"/>
        <w:ind w:left="0" w:right="309"/>
        <w:rPr>
          <w:w w:val="115"/>
        </w:rPr>
      </w:pPr>
      <w:r>
        <w:rPr>
          <w:color w:val="006FC0"/>
        </w:rPr>
        <w:t>Qu’</w:t>
      </w:r>
      <w:r w:rsidR="00587573">
        <w:rPr>
          <w:color w:val="006FC0"/>
        </w:rPr>
        <w:t>est-ce</w:t>
      </w:r>
      <w:r>
        <w:rPr>
          <w:color w:val="006FC0"/>
        </w:rPr>
        <w:t xml:space="preserve"> que </w:t>
      </w:r>
      <w:r w:rsidR="00FF3B43">
        <w:rPr>
          <w:color w:val="006FC0"/>
        </w:rPr>
        <w:t xml:space="preserve">la table d’appui ? </w:t>
      </w:r>
    </w:p>
    <w:p w:rsidR="0082185F" w:rsidRPr="004F0FE2" w:rsidRDefault="00FF3B43" w:rsidP="00CC6A28">
      <w:pPr>
        <w:pStyle w:val="Corpsdetexte"/>
        <w:spacing w:before="121"/>
        <w:ind w:left="112" w:right="309"/>
        <w:jc w:val="both"/>
        <w:rPr>
          <w:bCs/>
          <w:w w:val="115"/>
        </w:rPr>
      </w:pPr>
      <w:r w:rsidRPr="004F0FE2">
        <w:rPr>
          <w:bCs/>
          <w:w w:val="115"/>
        </w:rPr>
        <w:t>La table d’appui est un espace repéré dans l</w:t>
      </w:r>
      <w:r w:rsidR="00CD7C32">
        <w:rPr>
          <w:bCs/>
          <w:w w:val="115"/>
        </w:rPr>
        <w:t>a classe (une table) et investi</w:t>
      </w:r>
      <w:r w:rsidRPr="004F0FE2">
        <w:rPr>
          <w:bCs/>
          <w:w w:val="115"/>
        </w:rPr>
        <w:t xml:space="preserve"> </w:t>
      </w:r>
      <w:r w:rsidR="007D6B92" w:rsidRPr="004F0FE2">
        <w:rPr>
          <w:bCs/>
          <w:w w:val="115"/>
        </w:rPr>
        <w:t xml:space="preserve">de manière souple et rapide avec un ou plusieurs élèves. </w:t>
      </w:r>
      <w:r w:rsidR="00D7559F">
        <w:rPr>
          <w:w w:val="115"/>
        </w:rPr>
        <w:t>C’est</w:t>
      </w:r>
      <w:r w:rsidR="00D7559F">
        <w:rPr>
          <w:spacing w:val="1"/>
          <w:w w:val="115"/>
        </w:rPr>
        <w:t xml:space="preserve"> </w:t>
      </w:r>
      <w:r w:rsidR="00D7559F">
        <w:rPr>
          <w:w w:val="115"/>
        </w:rPr>
        <w:t>un</w:t>
      </w:r>
      <w:r w:rsidR="00D7559F">
        <w:rPr>
          <w:spacing w:val="1"/>
          <w:w w:val="115"/>
        </w:rPr>
        <w:t xml:space="preserve"> </w:t>
      </w:r>
      <w:r w:rsidR="00D7559F">
        <w:rPr>
          <w:w w:val="115"/>
        </w:rPr>
        <w:t>espace</w:t>
      </w:r>
      <w:r w:rsidR="00D7559F">
        <w:rPr>
          <w:spacing w:val="1"/>
          <w:w w:val="115"/>
        </w:rPr>
        <w:t xml:space="preserve"> </w:t>
      </w:r>
      <w:r w:rsidR="00D7559F">
        <w:rPr>
          <w:w w:val="115"/>
        </w:rPr>
        <w:t>d’étayage</w:t>
      </w:r>
      <w:r w:rsidR="00D7559F">
        <w:rPr>
          <w:bCs/>
          <w:w w:val="115"/>
        </w:rPr>
        <w:t xml:space="preserve">. </w:t>
      </w:r>
      <w:r w:rsidR="00266CD1" w:rsidRPr="004F0FE2">
        <w:rPr>
          <w:bCs/>
          <w:w w:val="115"/>
        </w:rPr>
        <w:t xml:space="preserve">Elle </w:t>
      </w:r>
      <w:r w:rsidR="00582A11" w:rsidRPr="004F0FE2">
        <w:rPr>
          <w:bCs/>
          <w:w w:val="115"/>
        </w:rPr>
        <w:t xml:space="preserve"> relève de la prise en compte d’obstacles que peuvent rencontrer des élèves.</w:t>
      </w:r>
      <w:r w:rsidR="00266CD1" w:rsidRPr="004F0FE2">
        <w:rPr>
          <w:bCs/>
          <w:w w:val="115"/>
        </w:rPr>
        <w:t xml:space="preserve"> C’est une pratique quotidienne de différenciation pédagogique pour soutenir, adapter et prolonger les notions abordées lors des séquences d’apprentissage.</w:t>
      </w:r>
    </w:p>
    <w:p w:rsidR="001C7F1A" w:rsidRDefault="00227832" w:rsidP="00CC6A28">
      <w:pPr>
        <w:pStyle w:val="Titre1"/>
        <w:tabs>
          <w:tab w:val="left" w:pos="233"/>
        </w:tabs>
        <w:spacing w:before="121"/>
        <w:ind w:left="0" w:right="309"/>
        <w:rPr>
          <w:color w:val="006FC0"/>
        </w:rPr>
      </w:pPr>
      <w:r w:rsidRPr="00013B03">
        <w:rPr>
          <w:color w:val="006FC0"/>
        </w:rPr>
        <w:t>Où placer cette table ?</w:t>
      </w:r>
    </w:p>
    <w:p w:rsidR="00227832" w:rsidRPr="001C7F1A" w:rsidRDefault="00227832" w:rsidP="00CC6A28">
      <w:pPr>
        <w:pStyle w:val="Titre1"/>
        <w:tabs>
          <w:tab w:val="left" w:pos="233"/>
        </w:tabs>
        <w:spacing w:before="121"/>
        <w:ind w:right="309"/>
        <w:rPr>
          <w:b w:val="0"/>
          <w:color w:val="006FC0"/>
        </w:rPr>
      </w:pPr>
      <w:r w:rsidRPr="001C7F1A">
        <w:rPr>
          <w:b w:val="0"/>
          <w:w w:val="115"/>
        </w:rPr>
        <w:t>Elle peut être au centre de la classe pour une accessibilité rapide, à côté du bureau pour un accès, par exemple, à l’ordinateur, aux tableaux</w:t>
      </w:r>
      <w:r w:rsidR="00587573" w:rsidRPr="001C7F1A">
        <w:rPr>
          <w:b w:val="0"/>
          <w:w w:val="115"/>
        </w:rPr>
        <w:t xml:space="preserve">, </w:t>
      </w:r>
      <w:r w:rsidRPr="001C7F1A">
        <w:rPr>
          <w:b w:val="0"/>
          <w:w w:val="115"/>
        </w:rPr>
        <w:t>à l’écart pour ne pas perturber les autres élèves par des discussions un peu</w:t>
      </w:r>
      <w:r w:rsidRPr="001C7F1A">
        <w:rPr>
          <w:b w:val="0"/>
          <w:spacing w:val="1"/>
          <w:w w:val="115"/>
        </w:rPr>
        <w:t xml:space="preserve"> </w:t>
      </w:r>
      <w:r w:rsidRPr="001C7F1A">
        <w:rPr>
          <w:b w:val="0"/>
          <w:w w:val="115"/>
        </w:rPr>
        <w:t>bruyantes…</w:t>
      </w:r>
    </w:p>
    <w:p w:rsidR="001C7F1A" w:rsidRDefault="00405365" w:rsidP="00CC6A28">
      <w:pPr>
        <w:pStyle w:val="Titre1"/>
        <w:tabs>
          <w:tab w:val="left" w:pos="0"/>
        </w:tabs>
        <w:spacing w:before="121"/>
        <w:ind w:left="0" w:right="309"/>
        <w:rPr>
          <w:color w:val="006FC0"/>
        </w:rPr>
      </w:pPr>
      <w:r w:rsidRPr="00923287">
        <w:rPr>
          <w:color w:val="006FC0"/>
        </w:rPr>
        <w:t xml:space="preserve">Pour qui la table d’appui ? </w:t>
      </w:r>
    </w:p>
    <w:p w:rsidR="00405365" w:rsidRPr="001C7F1A" w:rsidRDefault="00405365" w:rsidP="00CC6A28">
      <w:pPr>
        <w:pStyle w:val="Titre1"/>
        <w:tabs>
          <w:tab w:val="left" w:pos="233"/>
        </w:tabs>
        <w:spacing w:before="121"/>
        <w:ind w:right="309"/>
        <w:rPr>
          <w:b w:val="0"/>
          <w:color w:val="006FC0"/>
        </w:rPr>
      </w:pPr>
      <w:r w:rsidRPr="001C7F1A">
        <w:rPr>
          <w:b w:val="0"/>
          <w:w w:val="115"/>
        </w:rPr>
        <w:t>Cette</w:t>
      </w:r>
      <w:r w:rsidRPr="001C7F1A">
        <w:rPr>
          <w:b w:val="0"/>
          <w:spacing w:val="-2"/>
          <w:w w:val="115"/>
        </w:rPr>
        <w:t xml:space="preserve"> </w:t>
      </w:r>
      <w:r w:rsidRPr="001C7F1A">
        <w:rPr>
          <w:b w:val="0"/>
          <w:w w:val="115"/>
        </w:rPr>
        <w:t>table</w:t>
      </w:r>
      <w:r w:rsidRPr="001C7F1A">
        <w:rPr>
          <w:b w:val="0"/>
          <w:spacing w:val="-43"/>
          <w:w w:val="115"/>
        </w:rPr>
        <w:t xml:space="preserve"> </w:t>
      </w:r>
      <w:r w:rsidRPr="001C7F1A">
        <w:rPr>
          <w:b w:val="0"/>
          <w:w w:val="115"/>
        </w:rPr>
        <w:t xml:space="preserve">d’appui n’est </w:t>
      </w:r>
      <w:r w:rsidR="00673B6D" w:rsidRPr="001C7F1A">
        <w:rPr>
          <w:b w:val="0"/>
          <w:w w:val="115"/>
        </w:rPr>
        <w:t xml:space="preserve">pas </w:t>
      </w:r>
      <w:r w:rsidRPr="001C7F1A">
        <w:rPr>
          <w:b w:val="0"/>
          <w:w w:val="115"/>
        </w:rPr>
        <w:t xml:space="preserve">un lieu permanent qui </w:t>
      </w:r>
      <w:r w:rsidR="00673B6D" w:rsidRPr="001C7F1A">
        <w:rPr>
          <w:b w:val="0"/>
          <w:w w:val="115"/>
        </w:rPr>
        <w:t xml:space="preserve">juxtapose </w:t>
      </w:r>
      <w:r w:rsidRPr="001C7F1A">
        <w:rPr>
          <w:b w:val="0"/>
          <w:w w:val="115"/>
        </w:rPr>
        <w:t xml:space="preserve"> les élèves avec des difficultés</w:t>
      </w:r>
      <w:r w:rsidRPr="001C7F1A">
        <w:rPr>
          <w:b w:val="0"/>
          <w:spacing w:val="1"/>
          <w:w w:val="115"/>
        </w:rPr>
        <w:t xml:space="preserve"> </w:t>
      </w:r>
      <w:r w:rsidRPr="001C7F1A">
        <w:rPr>
          <w:b w:val="0"/>
          <w:w w:val="115"/>
        </w:rPr>
        <w:t xml:space="preserve">d’apprentissage aux autres élèves de la classe. </w:t>
      </w:r>
      <w:r w:rsidRPr="001C7F1A">
        <w:rPr>
          <w:b w:val="0"/>
          <w:spacing w:val="-1"/>
          <w:w w:val="115"/>
        </w:rPr>
        <w:t xml:space="preserve">Tous les élèves sont susceptibles, </w:t>
      </w:r>
      <w:r w:rsidRPr="001C7F1A">
        <w:rPr>
          <w:b w:val="0"/>
          <w:w w:val="115"/>
        </w:rPr>
        <w:t>à un moment de la journée ou de la</w:t>
      </w:r>
      <w:r w:rsidRPr="001C7F1A">
        <w:rPr>
          <w:b w:val="0"/>
          <w:spacing w:val="1"/>
          <w:w w:val="115"/>
        </w:rPr>
        <w:t xml:space="preserve"> </w:t>
      </w:r>
      <w:r w:rsidRPr="001C7F1A">
        <w:rPr>
          <w:b w:val="0"/>
          <w:w w:val="115"/>
        </w:rPr>
        <w:t>semaine, de travailler autour de la table d’appui</w:t>
      </w:r>
      <w:r w:rsidR="00923287" w:rsidRPr="001C7F1A">
        <w:rPr>
          <w:b w:val="0"/>
          <w:w w:val="115"/>
        </w:rPr>
        <w:t> ; l’idée</w:t>
      </w:r>
      <w:r w:rsidR="00923287" w:rsidRPr="001C7F1A">
        <w:rPr>
          <w:b w:val="0"/>
          <w:spacing w:val="-3"/>
          <w:w w:val="115"/>
        </w:rPr>
        <w:t xml:space="preserve"> </w:t>
      </w:r>
      <w:r w:rsidR="00923287" w:rsidRPr="001C7F1A">
        <w:rPr>
          <w:b w:val="0"/>
          <w:w w:val="115"/>
        </w:rPr>
        <w:t>est</w:t>
      </w:r>
      <w:r w:rsidR="00923287" w:rsidRPr="001C7F1A">
        <w:rPr>
          <w:b w:val="0"/>
          <w:spacing w:val="-2"/>
          <w:w w:val="115"/>
        </w:rPr>
        <w:t xml:space="preserve"> </w:t>
      </w:r>
      <w:r w:rsidR="00923287" w:rsidRPr="001C7F1A">
        <w:rPr>
          <w:b w:val="0"/>
          <w:w w:val="115"/>
        </w:rPr>
        <w:t>d’éviter</w:t>
      </w:r>
      <w:r w:rsidR="00923287" w:rsidRPr="001C7F1A">
        <w:rPr>
          <w:b w:val="0"/>
          <w:spacing w:val="-2"/>
          <w:w w:val="115"/>
        </w:rPr>
        <w:t xml:space="preserve"> </w:t>
      </w:r>
      <w:r w:rsidR="00923287" w:rsidRPr="001C7F1A">
        <w:rPr>
          <w:b w:val="0"/>
          <w:w w:val="115"/>
        </w:rPr>
        <w:t>la</w:t>
      </w:r>
      <w:r w:rsidR="00923287" w:rsidRPr="001C7F1A">
        <w:rPr>
          <w:b w:val="0"/>
          <w:spacing w:val="-2"/>
          <w:w w:val="115"/>
        </w:rPr>
        <w:t xml:space="preserve"> </w:t>
      </w:r>
      <w:r w:rsidR="00923287" w:rsidRPr="001C7F1A">
        <w:rPr>
          <w:b w:val="0"/>
          <w:w w:val="115"/>
        </w:rPr>
        <w:t>discrimination</w:t>
      </w:r>
      <w:r w:rsidR="00923287" w:rsidRPr="001C7F1A">
        <w:rPr>
          <w:b w:val="0"/>
          <w:spacing w:val="-2"/>
          <w:w w:val="115"/>
        </w:rPr>
        <w:t xml:space="preserve"> </w:t>
      </w:r>
      <w:r w:rsidR="00923287" w:rsidRPr="001C7F1A">
        <w:rPr>
          <w:b w:val="0"/>
          <w:w w:val="115"/>
        </w:rPr>
        <w:t>ou</w:t>
      </w:r>
      <w:r w:rsidR="00923287" w:rsidRPr="001C7F1A">
        <w:rPr>
          <w:b w:val="0"/>
          <w:spacing w:val="-3"/>
          <w:w w:val="115"/>
        </w:rPr>
        <w:t xml:space="preserve"> </w:t>
      </w:r>
      <w:r w:rsidR="00923287" w:rsidRPr="001C7F1A">
        <w:rPr>
          <w:b w:val="0"/>
          <w:w w:val="115"/>
        </w:rPr>
        <w:t>la</w:t>
      </w:r>
      <w:r w:rsidR="00923287" w:rsidRPr="001C7F1A">
        <w:rPr>
          <w:b w:val="0"/>
          <w:spacing w:val="-2"/>
          <w:w w:val="115"/>
        </w:rPr>
        <w:t xml:space="preserve"> </w:t>
      </w:r>
      <w:r w:rsidR="00923287" w:rsidRPr="001C7F1A">
        <w:rPr>
          <w:b w:val="0"/>
          <w:w w:val="115"/>
        </w:rPr>
        <w:t>stigmatisation</w:t>
      </w:r>
      <w:r w:rsidR="00923287" w:rsidRPr="001C7F1A">
        <w:rPr>
          <w:b w:val="0"/>
          <w:spacing w:val="-2"/>
          <w:w w:val="115"/>
        </w:rPr>
        <w:t xml:space="preserve"> </w:t>
      </w:r>
      <w:r w:rsidR="00923287" w:rsidRPr="001C7F1A">
        <w:rPr>
          <w:b w:val="0"/>
          <w:w w:val="115"/>
        </w:rPr>
        <w:t>des</w:t>
      </w:r>
      <w:r w:rsidR="00923287" w:rsidRPr="001C7F1A">
        <w:rPr>
          <w:b w:val="0"/>
          <w:spacing w:val="-2"/>
          <w:w w:val="115"/>
        </w:rPr>
        <w:t xml:space="preserve"> </w:t>
      </w:r>
      <w:r w:rsidR="00923287" w:rsidRPr="001C7F1A">
        <w:rPr>
          <w:b w:val="0"/>
          <w:w w:val="115"/>
        </w:rPr>
        <w:t>élèves.</w:t>
      </w:r>
      <w:r w:rsidR="00673B6D" w:rsidRPr="001C7F1A">
        <w:rPr>
          <w:b w:val="0"/>
          <w:w w:val="115"/>
        </w:rPr>
        <w:t xml:space="preserve"> </w:t>
      </w:r>
    </w:p>
    <w:p w:rsidR="008337F8" w:rsidRDefault="00266CD1" w:rsidP="00CC6A28">
      <w:pPr>
        <w:pStyle w:val="Titre1"/>
        <w:tabs>
          <w:tab w:val="left" w:pos="0"/>
        </w:tabs>
        <w:spacing w:before="121"/>
        <w:ind w:left="0" w:right="309"/>
        <w:rPr>
          <w:color w:val="006FC0"/>
        </w:rPr>
      </w:pPr>
      <w:r w:rsidRPr="00587573">
        <w:rPr>
          <w:color w:val="006FC0"/>
        </w:rPr>
        <w:t>Q</w:t>
      </w:r>
      <w:r w:rsidR="008E6031" w:rsidRPr="00587573">
        <w:rPr>
          <w:color w:val="006FC0"/>
        </w:rPr>
        <w:t>uel fonctionnement ? Quand utiliser la table d’appui ?</w:t>
      </w:r>
    </w:p>
    <w:p w:rsidR="00BB168E" w:rsidRDefault="006B4EB4" w:rsidP="00CC6A28">
      <w:pPr>
        <w:pStyle w:val="Corpsdetexte"/>
        <w:ind w:left="112" w:right="131"/>
        <w:jc w:val="both"/>
        <w:rPr>
          <w:w w:val="115"/>
        </w:rPr>
      </w:pPr>
      <w:r w:rsidRPr="00D32017">
        <w:rPr>
          <w:w w:val="115"/>
        </w:rPr>
        <w:t xml:space="preserve">Avant ou dès la concrétisation d’un obstacle, l’enseignant </w:t>
      </w:r>
      <w:r w:rsidR="00BC60A2" w:rsidRPr="00D32017">
        <w:rPr>
          <w:w w:val="115"/>
        </w:rPr>
        <w:t>pourra</w:t>
      </w:r>
      <w:r w:rsidRPr="00D32017">
        <w:rPr>
          <w:w w:val="115"/>
        </w:rPr>
        <w:t xml:space="preserve"> </w:t>
      </w:r>
      <w:r w:rsidR="008F7488" w:rsidRPr="00D32017">
        <w:rPr>
          <w:w w:val="115"/>
        </w:rPr>
        <w:t xml:space="preserve">y </w:t>
      </w:r>
      <w:r w:rsidRPr="00D32017">
        <w:rPr>
          <w:w w:val="115"/>
        </w:rPr>
        <w:t xml:space="preserve">rassembler </w:t>
      </w:r>
      <w:r w:rsidR="00BA7A23" w:rsidRPr="00D32017">
        <w:rPr>
          <w:w w:val="115"/>
        </w:rPr>
        <w:t>des élèves et lever ou faire le</w:t>
      </w:r>
      <w:r w:rsidRPr="00D32017">
        <w:rPr>
          <w:w w:val="115"/>
        </w:rPr>
        <w:t xml:space="preserve">ver un certain nombre de mécompréhensions. </w:t>
      </w:r>
    </w:p>
    <w:p w:rsidR="00DF5FB3" w:rsidRPr="00D7559F" w:rsidRDefault="00D32017" w:rsidP="00CC6A28">
      <w:pPr>
        <w:pStyle w:val="Corpsdetexte"/>
        <w:ind w:left="112" w:right="131"/>
        <w:jc w:val="both"/>
        <w:rPr>
          <w:w w:val="115"/>
        </w:rPr>
      </w:pPr>
      <w:r w:rsidRPr="00D7559F">
        <w:rPr>
          <w:w w:val="115"/>
        </w:rPr>
        <w:t xml:space="preserve">Il </w:t>
      </w:r>
      <w:r w:rsidR="00F069FA" w:rsidRPr="00D7559F">
        <w:rPr>
          <w:w w:val="115"/>
        </w:rPr>
        <w:t xml:space="preserve">pourra </w:t>
      </w:r>
      <w:r w:rsidR="00BB168E" w:rsidRPr="00D7559F">
        <w:rPr>
          <w:w w:val="115"/>
        </w:rPr>
        <w:t>s'agir</w:t>
      </w:r>
      <w:r w:rsidR="00DF5FB3" w:rsidRPr="00D7559F">
        <w:rPr>
          <w:w w:val="115"/>
        </w:rPr>
        <w:t> :</w:t>
      </w:r>
    </w:p>
    <w:p w:rsidR="00DF5FB3" w:rsidRPr="00D7559F" w:rsidRDefault="00D32017" w:rsidP="00CC6A28">
      <w:pPr>
        <w:pStyle w:val="Corpsdetexte"/>
        <w:ind w:left="112" w:right="131"/>
        <w:jc w:val="both"/>
        <w:rPr>
          <w:w w:val="115"/>
        </w:rPr>
      </w:pPr>
      <w:r w:rsidRPr="00D7559F">
        <w:rPr>
          <w:w w:val="115"/>
        </w:rPr>
        <w:t xml:space="preserve"> </w:t>
      </w:r>
      <w:r w:rsidR="00DF5FB3" w:rsidRPr="00D7559F">
        <w:rPr>
          <w:w w:val="115"/>
        </w:rPr>
        <w:t xml:space="preserve">-de </w:t>
      </w:r>
      <w:r w:rsidRPr="00D7559F">
        <w:rPr>
          <w:w w:val="115"/>
        </w:rPr>
        <w:t xml:space="preserve">revoir une notion, </w:t>
      </w:r>
    </w:p>
    <w:p w:rsidR="00DF5FB3" w:rsidRPr="00D7559F" w:rsidRDefault="00DF5FB3" w:rsidP="00CC6A28">
      <w:pPr>
        <w:pStyle w:val="Corpsdetexte"/>
        <w:ind w:left="112" w:right="131"/>
        <w:jc w:val="both"/>
        <w:rPr>
          <w:w w:val="115"/>
        </w:rPr>
      </w:pPr>
      <w:r w:rsidRPr="00D7559F">
        <w:rPr>
          <w:w w:val="115"/>
        </w:rPr>
        <w:t>-</w:t>
      </w:r>
      <w:r w:rsidR="00D32017" w:rsidRPr="00D7559F">
        <w:rPr>
          <w:w w:val="115"/>
        </w:rPr>
        <w:t xml:space="preserve">d'étayer une démarche de compréhension de texte, </w:t>
      </w:r>
    </w:p>
    <w:p w:rsidR="00DF5FB3" w:rsidRPr="00D7559F" w:rsidRDefault="00DF5FB3" w:rsidP="00CC6A28">
      <w:pPr>
        <w:pStyle w:val="Corpsdetexte"/>
        <w:ind w:left="112" w:right="131"/>
        <w:jc w:val="both"/>
        <w:rPr>
          <w:w w:val="115"/>
        </w:rPr>
      </w:pPr>
      <w:r w:rsidRPr="00D7559F">
        <w:rPr>
          <w:w w:val="115"/>
        </w:rPr>
        <w:t>-</w:t>
      </w:r>
      <w:r w:rsidR="00D32017" w:rsidRPr="00D7559F">
        <w:rPr>
          <w:w w:val="115"/>
        </w:rPr>
        <w:t xml:space="preserve">d'adapter un contenu ou une consigne, </w:t>
      </w:r>
    </w:p>
    <w:p w:rsidR="00DF5FB3" w:rsidRPr="00D7559F" w:rsidRDefault="00DF5FB3" w:rsidP="00CC6A28">
      <w:pPr>
        <w:pStyle w:val="Corpsdetexte"/>
        <w:ind w:left="112" w:right="131"/>
        <w:jc w:val="both"/>
        <w:rPr>
          <w:w w:val="115"/>
        </w:rPr>
      </w:pPr>
      <w:r w:rsidRPr="00D7559F">
        <w:rPr>
          <w:w w:val="115"/>
        </w:rPr>
        <w:t>-</w:t>
      </w:r>
      <w:r w:rsidR="00D32017" w:rsidRPr="00D7559F">
        <w:rPr>
          <w:w w:val="115"/>
        </w:rPr>
        <w:t xml:space="preserve">d’exercer afin de consolider des connaissances, </w:t>
      </w:r>
    </w:p>
    <w:p w:rsidR="00DF5FB3" w:rsidRPr="00D7559F" w:rsidRDefault="00DF5FB3" w:rsidP="00CC6A28">
      <w:pPr>
        <w:pStyle w:val="Corpsdetexte"/>
        <w:ind w:left="112" w:right="131"/>
        <w:jc w:val="both"/>
        <w:rPr>
          <w:w w:val="115"/>
        </w:rPr>
      </w:pPr>
      <w:r w:rsidRPr="00D7559F">
        <w:rPr>
          <w:w w:val="115"/>
        </w:rPr>
        <w:t>-</w:t>
      </w:r>
      <w:r w:rsidR="00D32017" w:rsidRPr="00D7559F">
        <w:rPr>
          <w:w w:val="115"/>
        </w:rPr>
        <w:t>de faire expliciter la démar</w:t>
      </w:r>
      <w:r w:rsidR="00497766" w:rsidRPr="00D7559F">
        <w:rPr>
          <w:w w:val="115"/>
        </w:rPr>
        <w:t>che d'apprentissage poursuivi,</w:t>
      </w:r>
      <w:r w:rsidR="00D32017" w:rsidRPr="00D7559F">
        <w:rPr>
          <w:w w:val="115"/>
        </w:rPr>
        <w:t xml:space="preserve"> </w:t>
      </w:r>
    </w:p>
    <w:p w:rsidR="00DF5FB3" w:rsidRPr="00D7559F" w:rsidRDefault="00DF5FB3" w:rsidP="00CC6A28">
      <w:pPr>
        <w:pStyle w:val="Corpsdetexte"/>
        <w:ind w:left="112" w:right="131"/>
        <w:jc w:val="both"/>
        <w:rPr>
          <w:w w:val="115"/>
        </w:rPr>
      </w:pPr>
      <w:r w:rsidRPr="00D7559F">
        <w:rPr>
          <w:w w:val="115"/>
        </w:rPr>
        <w:t>-</w:t>
      </w:r>
      <w:r w:rsidR="00D32017" w:rsidRPr="00D7559F">
        <w:rPr>
          <w:w w:val="115"/>
        </w:rPr>
        <w:t xml:space="preserve">d'en percevoir les obstacles, </w:t>
      </w:r>
    </w:p>
    <w:p w:rsidR="00DF5FB3" w:rsidRPr="00D7559F" w:rsidRDefault="00DF5FB3" w:rsidP="00CC6A28">
      <w:pPr>
        <w:pStyle w:val="Corpsdetexte"/>
        <w:ind w:left="112" w:right="131"/>
        <w:jc w:val="both"/>
        <w:rPr>
          <w:w w:val="115"/>
        </w:rPr>
      </w:pPr>
      <w:r w:rsidRPr="00D7559F">
        <w:rPr>
          <w:w w:val="115"/>
        </w:rPr>
        <w:t>-</w:t>
      </w:r>
      <w:r w:rsidR="00D32017" w:rsidRPr="00D7559F">
        <w:rPr>
          <w:w w:val="115"/>
        </w:rPr>
        <w:t>de penser à voix haute afin d'expliciter le raisonnement au fur et à mesur</w:t>
      </w:r>
      <w:r w:rsidR="00FE4BA6" w:rsidRPr="00D7559F">
        <w:rPr>
          <w:w w:val="115"/>
        </w:rPr>
        <w:t>e de l'effectuation d'une tâche,</w:t>
      </w:r>
      <w:r w:rsidR="00D32017" w:rsidRPr="00D7559F">
        <w:rPr>
          <w:w w:val="115"/>
        </w:rPr>
        <w:t xml:space="preserve"> </w:t>
      </w:r>
    </w:p>
    <w:p w:rsidR="00DF5FB3" w:rsidRPr="00D7559F" w:rsidRDefault="00DF5FB3" w:rsidP="00CC6A28">
      <w:pPr>
        <w:pStyle w:val="Corpsdetexte"/>
        <w:ind w:left="112" w:right="131"/>
        <w:jc w:val="both"/>
        <w:rPr>
          <w:w w:val="115"/>
        </w:rPr>
      </w:pPr>
      <w:r w:rsidRPr="00D7559F">
        <w:rPr>
          <w:w w:val="115"/>
        </w:rPr>
        <w:t>-</w:t>
      </w:r>
      <w:r w:rsidR="00D32017" w:rsidRPr="00D7559F">
        <w:rPr>
          <w:w w:val="115"/>
        </w:rPr>
        <w:t>d'analyse</w:t>
      </w:r>
      <w:r w:rsidRPr="00D7559F">
        <w:rPr>
          <w:w w:val="115"/>
        </w:rPr>
        <w:t>r des erreurs d'apprentissage</w:t>
      </w:r>
      <w:r w:rsidR="00FE4BA6" w:rsidRPr="00D7559F">
        <w:rPr>
          <w:w w:val="115"/>
        </w:rPr>
        <w:t>,</w:t>
      </w:r>
      <w:r w:rsidRPr="00D7559F">
        <w:rPr>
          <w:w w:val="115"/>
        </w:rPr>
        <w:t xml:space="preserve"> </w:t>
      </w:r>
    </w:p>
    <w:p w:rsidR="00D32017" w:rsidRPr="00D32017" w:rsidRDefault="00DF5FB3" w:rsidP="00CC6A28">
      <w:pPr>
        <w:pStyle w:val="Corpsdetexte"/>
        <w:ind w:left="112" w:right="131"/>
        <w:jc w:val="both"/>
        <w:rPr>
          <w:w w:val="115"/>
        </w:rPr>
      </w:pPr>
      <w:r w:rsidRPr="00D7559F">
        <w:rPr>
          <w:w w:val="115"/>
        </w:rPr>
        <w:t>-</w:t>
      </w:r>
      <w:r w:rsidR="00D32017" w:rsidRPr="00D7559F">
        <w:rPr>
          <w:w w:val="115"/>
        </w:rPr>
        <w:t xml:space="preserve">d'engager une évaluation formative en outillant </w:t>
      </w:r>
      <w:r w:rsidR="00F069FA" w:rsidRPr="00D7559F">
        <w:rPr>
          <w:w w:val="115"/>
        </w:rPr>
        <w:t>les élèves</w:t>
      </w:r>
      <w:r w:rsidR="00D32017" w:rsidRPr="00D7559F">
        <w:rPr>
          <w:w w:val="115"/>
        </w:rPr>
        <w:t xml:space="preserve"> sur des points de vigilance dans l'accomplissement d'une tâche, sur des savoirs non consolidés, des stratégies de résolution...</w:t>
      </w:r>
    </w:p>
    <w:p w:rsidR="00923287" w:rsidRPr="005037FF" w:rsidRDefault="00227832" w:rsidP="00CC6A28">
      <w:pPr>
        <w:pStyle w:val="Corpsdetexte"/>
        <w:spacing w:before="121"/>
        <w:ind w:left="112" w:right="309"/>
        <w:jc w:val="both"/>
        <w:rPr>
          <w:bCs/>
          <w:w w:val="115"/>
        </w:rPr>
      </w:pPr>
      <w:r w:rsidRPr="00BA7A23">
        <w:rPr>
          <w:bCs/>
          <w:w w:val="115"/>
        </w:rPr>
        <w:t>La différenciation par la table d’appui  peut se faire avant d’aborder une nouvelle notion, pendant l’apprentissage d’une nouvelle notion, après cet apprentissage, une fois les difficultés repérées chez les élèves.</w:t>
      </w:r>
    </w:p>
    <w:p w:rsidR="00123B14" w:rsidRDefault="00586001" w:rsidP="00CC6A28">
      <w:pPr>
        <w:pStyle w:val="Corpsdetexte"/>
        <w:spacing w:before="121"/>
        <w:ind w:left="112" w:right="309"/>
        <w:jc w:val="both"/>
        <w:rPr>
          <w:b/>
          <w:w w:val="115"/>
        </w:rPr>
      </w:pPr>
      <w:r w:rsidRPr="00D237E5">
        <w:rPr>
          <w:b/>
          <w:spacing w:val="-1"/>
          <w:w w:val="115"/>
        </w:rPr>
        <w:t>Lorsque</w:t>
      </w:r>
      <w:r w:rsidRPr="00D237E5">
        <w:rPr>
          <w:b/>
          <w:spacing w:val="-5"/>
          <w:w w:val="115"/>
        </w:rPr>
        <w:t xml:space="preserve"> </w:t>
      </w:r>
      <w:r w:rsidRPr="00D237E5">
        <w:rPr>
          <w:b/>
          <w:spacing w:val="-1"/>
          <w:w w:val="115"/>
        </w:rPr>
        <w:t>des</w:t>
      </w:r>
      <w:r w:rsidRPr="00D237E5">
        <w:rPr>
          <w:b/>
          <w:spacing w:val="-5"/>
          <w:w w:val="115"/>
        </w:rPr>
        <w:t xml:space="preserve"> </w:t>
      </w:r>
      <w:r w:rsidRPr="00D237E5">
        <w:rPr>
          <w:b/>
          <w:spacing w:val="-1"/>
          <w:w w:val="115"/>
        </w:rPr>
        <w:t>élèves</w:t>
      </w:r>
      <w:r w:rsidRPr="00D237E5">
        <w:rPr>
          <w:b/>
          <w:spacing w:val="-4"/>
          <w:w w:val="115"/>
        </w:rPr>
        <w:t xml:space="preserve"> </w:t>
      </w:r>
      <w:r w:rsidRPr="00D237E5">
        <w:rPr>
          <w:b/>
          <w:spacing w:val="-1"/>
          <w:w w:val="115"/>
        </w:rPr>
        <w:t>rejoignent</w:t>
      </w:r>
      <w:r w:rsidRPr="00D237E5">
        <w:rPr>
          <w:b/>
          <w:spacing w:val="-5"/>
          <w:w w:val="115"/>
        </w:rPr>
        <w:t xml:space="preserve"> </w:t>
      </w:r>
      <w:r w:rsidRPr="00D237E5">
        <w:rPr>
          <w:b/>
          <w:spacing w:val="-1"/>
          <w:w w:val="115"/>
        </w:rPr>
        <w:t>l’enseignant</w:t>
      </w:r>
      <w:r w:rsidRPr="00D237E5">
        <w:rPr>
          <w:b/>
          <w:spacing w:val="-4"/>
          <w:w w:val="115"/>
        </w:rPr>
        <w:t xml:space="preserve"> </w:t>
      </w:r>
      <w:r w:rsidRPr="00D237E5">
        <w:rPr>
          <w:b/>
          <w:w w:val="115"/>
        </w:rPr>
        <w:t>à</w:t>
      </w:r>
      <w:r w:rsidRPr="00D237E5">
        <w:rPr>
          <w:b/>
          <w:spacing w:val="-5"/>
          <w:w w:val="115"/>
        </w:rPr>
        <w:t xml:space="preserve"> </w:t>
      </w:r>
      <w:r w:rsidRPr="00D237E5">
        <w:rPr>
          <w:b/>
          <w:w w:val="115"/>
        </w:rPr>
        <w:t>la</w:t>
      </w:r>
      <w:r w:rsidRPr="00D237E5">
        <w:rPr>
          <w:b/>
          <w:spacing w:val="-4"/>
          <w:w w:val="115"/>
        </w:rPr>
        <w:t xml:space="preserve"> </w:t>
      </w:r>
      <w:r w:rsidRPr="00D237E5">
        <w:rPr>
          <w:b/>
          <w:w w:val="115"/>
        </w:rPr>
        <w:t>table</w:t>
      </w:r>
      <w:r w:rsidRPr="00D237E5">
        <w:rPr>
          <w:b/>
          <w:spacing w:val="-5"/>
          <w:w w:val="115"/>
        </w:rPr>
        <w:t xml:space="preserve"> </w:t>
      </w:r>
      <w:r w:rsidRPr="00D237E5">
        <w:rPr>
          <w:b/>
          <w:w w:val="115"/>
        </w:rPr>
        <w:t>d’appui,</w:t>
      </w:r>
      <w:r w:rsidRPr="00D237E5">
        <w:rPr>
          <w:b/>
          <w:spacing w:val="-11"/>
          <w:w w:val="115"/>
        </w:rPr>
        <w:t xml:space="preserve"> </w:t>
      </w:r>
      <w:r w:rsidRPr="00D237E5">
        <w:rPr>
          <w:b/>
          <w:w w:val="115"/>
        </w:rPr>
        <w:t>le</w:t>
      </w:r>
      <w:r w:rsidRPr="00D237E5">
        <w:rPr>
          <w:b/>
          <w:spacing w:val="-5"/>
          <w:w w:val="115"/>
        </w:rPr>
        <w:t xml:space="preserve"> </w:t>
      </w:r>
      <w:r w:rsidRPr="00D237E5">
        <w:rPr>
          <w:b/>
          <w:w w:val="115"/>
        </w:rPr>
        <w:t>reste</w:t>
      </w:r>
      <w:r w:rsidRPr="00D237E5">
        <w:rPr>
          <w:b/>
          <w:spacing w:val="-4"/>
          <w:w w:val="115"/>
        </w:rPr>
        <w:t xml:space="preserve"> </w:t>
      </w:r>
      <w:r w:rsidRPr="00D237E5">
        <w:rPr>
          <w:b/>
          <w:w w:val="115"/>
        </w:rPr>
        <w:t>des</w:t>
      </w:r>
      <w:r w:rsidRPr="00D237E5">
        <w:rPr>
          <w:b/>
          <w:spacing w:val="-5"/>
          <w:w w:val="115"/>
        </w:rPr>
        <w:t xml:space="preserve"> </w:t>
      </w:r>
      <w:r w:rsidRPr="00D237E5">
        <w:rPr>
          <w:b/>
          <w:w w:val="115"/>
        </w:rPr>
        <w:t>élèves</w:t>
      </w:r>
      <w:r w:rsidRPr="00D237E5">
        <w:rPr>
          <w:b/>
          <w:spacing w:val="-4"/>
          <w:w w:val="115"/>
        </w:rPr>
        <w:t xml:space="preserve"> </w:t>
      </w:r>
      <w:r w:rsidRPr="00D237E5">
        <w:rPr>
          <w:b/>
          <w:w w:val="115"/>
        </w:rPr>
        <w:t>doit</w:t>
      </w:r>
      <w:r w:rsidRPr="00D237E5">
        <w:rPr>
          <w:b/>
          <w:spacing w:val="-5"/>
          <w:w w:val="115"/>
        </w:rPr>
        <w:t xml:space="preserve"> </w:t>
      </w:r>
      <w:r w:rsidRPr="00D237E5">
        <w:rPr>
          <w:b/>
          <w:w w:val="115"/>
        </w:rPr>
        <w:t>être</w:t>
      </w:r>
      <w:r w:rsidRPr="00D237E5">
        <w:rPr>
          <w:b/>
          <w:spacing w:val="-5"/>
          <w:w w:val="115"/>
        </w:rPr>
        <w:t xml:space="preserve"> </w:t>
      </w:r>
      <w:r w:rsidRPr="00D237E5">
        <w:rPr>
          <w:b/>
          <w:w w:val="115"/>
        </w:rPr>
        <w:t>en</w:t>
      </w:r>
      <w:r w:rsidRPr="00D237E5">
        <w:rPr>
          <w:b/>
          <w:spacing w:val="-43"/>
          <w:w w:val="115"/>
        </w:rPr>
        <w:t xml:space="preserve"> </w:t>
      </w:r>
      <w:r w:rsidRPr="00D237E5">
        <w:rPr>
          <w:b/>
          <w:w w:val="115"/>
        </w:rPr>
        <w:t>mesure</w:t>
      </w:r>
      <w:r w:rsidRPr="00D237E5">
        <w:rPr>
          <w:b/>
          <w:spacing w:val="-2"/>
          <w:w w:val="115"/>
        </w:rPr>
        <w:t xml:space="preserve"> </w:t>
      </w:r>
      <w:r w:rsidRPr="00D237E5">
        <w:rPr>
          <w:b/>
          <w:w w:val="115"/>
        </w:rPr>
        <w:t>de</w:t>
      </w:r>
      <w:r w:rsidRPr="00D237E5">
        <w:rPr>
          <w:b/>
          <w:spacing w:val="-1"/>
          <w:w w:val="115"/>
        </w:rPr>
        <w:t xml:space="preserve"> </w:t>
      </w:r>
      <w:r w:rsidRPr="00D237E5">
        <w:rPr>
          <w:b/>
          <w:w w:val="115"/>
        </w:rPr>
        <w:t>travailler</w:t>
      </w:r>
      <w:r w:rsidRPr="00D237E5">
        <w:rPr>
          <w:b/>
          <w:spacing w:val="-1"/>
          <w:w w:val="115"/>
        </w:rPr>
        <w:t xml:space="preserve"> </w:t>
      </w:r>
      <w:r w:rsidRPr="00D237E5">
        <w:rPr>
          <w:b/>
          <w:w w:val="115"/>
        </w:rPr>
        <w:t>dans</w:t>
      </w:r>
      <w:r w:rsidRPr="00D237E5">
        <w:rPr>
          <w:b/>
          <w:spacing w:val="-1"/>
          <w:w w:val="115"/>
        </w:rPr>
        <w:t xml:space="preserve"> </w:t>
      </w:r>
      <w:r w:rsidRPr="00D237E5">
        <w:rPr>
          <w:b/>
          <w:w w:val="115"/>
        </w:rPr>
        <w:t>un</w:t>
      </w:r>
      <w:r w:rsidRPr="00D237E5">
        <w:rPr>
          <w:b/>
          <w:spacing w:val="-1"/>
          <w:w w:val="115"/>
        </w:rPr>
        <w:t xml:space="preserve"> </w:t>
      </w:r>
      <w:r w:rsidRPr="00D237E5">
        <w:rPr>
          <w:b/>
          <w:w w:val="115"/>
        </w:rPr>
        <w:t>mode</w:t>
      </w:r>
      <w:r w:rsidRPr="00D237E5">
        <w:rPr>
          <w:b/>
          <w:spacing w:val="-1"/>
          <w:w w:val="115"/>
        </w:rPr>
        <w:t xml:space="preserve"> </w:t>
      </w:r>
      <w:r w:rsidRPr="00D237E5">
        <w:rPr>
          <w:b/>
          <w:w w:val="115"/>
        </w:rPr>
        <w:t>autogéré.</w:t>
      </w:r>
      <w:r w:rsidR="00266CD1" w:rsidRPr="00D237E5">
        <w:rPr>
          <w:b/>
          <w:w w:val="115"/>
        </w:rPr>
        <w:t xml:space="preserve"> Afin que la différenciation pédagogique fonctionne et que le dispositif de la TA soit efficient, il est primordial de développer chez les élèves des compétences d’autonomie, de responsabilisation et d’explicitation.</w:t>
      </w:r>
    </w:p>
    <w:sectPr w:rsidR="00123B14" w:rsidSect="00D7559F">
      <w:pgSz w:w="11910" w:h="16840"/>
      <w:pgMar w:top="568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5F" w:rsidRDefault="004B615F" w:rsidP="003A05B1">
      <w:r>
        <w:separator/>
      </w:r>
    </w:p>
  </w:endnote>
  <w:endnote w:type="continuationSeparator" w:id="0">
    <w:p w:rsidR="004B615F" w:rsidRDefault="004B615F" w:rsidP="003A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5F" w:rsidRDefault="004B615F" w:rsidP="003A05B1">
      <w:r>
        <w:separator/>
      </w:r>
    </w:p>
  </w:footnote>
  <w:footnote w:type="continuationSeparator" w:id="0">
    <w:p w:rsidR="004B615F" w:rsidRDefault="004B615F" w:rsidP="003A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33EF"/>
    <w:multiLevelType w:val="hybridMultilevel"/>
    <w:tmpl w:val="2402BA6C"/>
    <w:lvl w:ilvl="0" w:tplc="68E8F608">
      <w:numFmt w:val="bullet"/>
      <w:lvlText w:val="•"/>
      <w:lvlJc w:val="left"/>
      <w:pPr>
        <w:ind w:left="821" w:hanging="284"/>
      </w:pPr>
      <w:rPr>
        <w:rFonts w:ascii="Trebuchet MS" w:eastAsia="Trebuchet MS" w:hAnsi="Trebuchet MS" w:cs="Trebuchet MS" w:hint="default"/>
        <w:w w:val="67"/>
        <w:sz w:val="24"/>
        <w:szCs w:val="24"/>
        <w:lang w:val="fr-FR" w:eastAsia="en-US" w:bidi="ar-SA"/>
      </w:rPr>
    </w:lvl>
    <w:lvl w:ilvl="1" w:tplc="3C8ACFFA">
      <w:numFmt w:val="bullet"/>
      <w:lvlText w:val="•"/>
      <w:lvlJc w:val="left"/>
      <w:pPr>
        <w:ind w:left="1726" w:hanging="284"/>
      </w:pPr>
      <w:rPr>
        <w:rFonts w:hint="default"/>
        <w:lang w:val="fr-FR" w:eastAsia="en-US" w:bidi="ar-SA"/>
      </w:rPr>
    </w:lvl>
    <w:lvl w:ilvl="2" w:tplc="5E901A3A">
      <w:numFmt w:val="bullet"/>
      <w:lvlText w:val="•"/>
      <w:lvlJc w:val="left"/>
      <w:pPr>
        <w:ind w:left="2633" w:hanging="284"/>
      </w:pPr>
      <w:rPr>
        <w:rFonts w:hint="default"/>
        <w:lang w:val="fr-FR" w:eastAsia="en-US" w:bidi="ar-SA"/>
      </w:rPr>
    </w:lvl>
    <w:lvl w:ilvl="3" w:tplc="78DE4288">
      <w:numFmt w:val="bullet"/>
      <w:lvlText w:val="•"/>
      <w:lvlJc w:val="left"/>
      <w:pPr>
        <w:ind w:left="3539" w:hanging="284"/>
      </w:pPr>
      <w:rPr>
        <w:rFonts w:hint="default"/>
        <w:lang w:val="fr-FR" w:eastAsia="en-US" w:bidi="ar-SA"/>
      </w:rPr>
    </w:lvl>
    <w:lvl w:ilvl="4" w:tplc="E20C9840">
      <w:numFmt w:val="bullet"/>
      <w:lvlText w:val="•"/>
      <w:lvlJc w:val="left"/>
      <w:pPr>
        <w:ind w:left="4446" w:hanging="284"/>
      </w:pPr>
      <w:rPr>
        <w:rFonts w:hint="default"/>
        <w:lang w:val="fr-FR" w:eastAsia="en-US" w:bidi="ar-SA"/>
      </w:rPr>
    </w:lvl>
    <w:lvl w:ilvl="5" w:tplc="5EE86978">
      <w:numFmt w:val="bullet"/>
      <w:lvlText w:val="•"/>
      <w:lvlJc w:val="left"/>
      <w:pPr>
        <w:ind w:left="5353" w:hanging="284"/>
      </w:pPr>
      <w:rPr>
        <w:rFonts w:hint="default"/>
        <w:lang w:val="fr-FR" w:eastAsia="en-US" w:bidi="ar-SA"/>
      </w:rPr>
    </w:lvl>
    <w:lvl w:ilvl="6" w:tplc="ADB8E2B0">
      <w:numFmt w:val="bullet"/>
      <w:lvlText w:val="•"/>
      <w:lvlJc w:val="left"/>
      <w:pPr>
        <w:ind w:left="6259" w:hanging="284"/>
      </w:pPr>
      <w:rPr>
        <w:rFonts w:hint="default"/>
        <w:lang w:val="fr-FR" w:eastAsia="en-US" w:bidi="ar-SA"/>
      </w:rPr>
    </w:lvl>
    <w:lvl w:ilvl="7" w:tplc="135ACE00">
      <w:numFmt w:val="bullet"/>
      <w:lvlText w:val="•"/>
      <w:lvlJc w:val="left"/>
      <w:pPr>
        <w:ind w:left="7166" w:hanging="284"/>
      </w:pPr>
      <w:rPr>
        <w:rFonts w:hint="default"/>
        <w:lang w:val="fr-FR" w:eastAsia="en-US" w:bidi="ar-SA"/>
      </w:rPr>
    </w:lvl>
    <w:lvl w:ilvl="8" w:tplc="729E707A">
      <w:numFmt w:val="bullet"/>
      <w:lvlText w:val="•"/>
      <w:lvlJc w:val="left"/>
      <w:pPr>
        <w:ind w:left="8073" w:hanging="284"/>
      </w:pPr>
      <w:rPr>
        <w:rFonts w:hint="default"/>
        <w:lang w:val="fr-FR" w:eastAsia="en-US" w:bidi="ar-SA"/>
      </w:rPr>
    </w:lvl>
  </w:abstractNum>
  <w:abstractNum w:abstractNumId="1">
    <w:nsid w:val="44DF6B10"/>
    <w:multiLevelType w:val="hybridMultilevel"/>
    <w:tmpl w:val="02C6E662"/>
    <w:lvl w:ilvl="0" w:tplc="FF9486E4">
      <w:start w:val="1"/>
      <w:numFmt w:val="upperRoman"/>
      <w:lvlText w:val="%1"/>
      <w:lvlJc w:val="left"/>
      <w:pPr>
        <w:ind w:left="232" w:hanging="120"/>
        <w:jc w:val="left"/>
      </w:pPr>
      <w:rPr>
        <w:rFonts w:ascii="Calibri" w:eastAsia="Calibri" w:hAnsi="Calibri" w:cs="Calibri" w:hint="default"/>
        <w:b/>
        <w:bCs/>
        <w:color w:val="006FC0"/>
        <w:w w:val="100"/>
        <w:sz w:val="24"/>
        <w:szCs w:val="24"/>
        <w:lang w:val="fr-FR" w:eastAsia="en-US" w:bidi="ar-SA"/>
      </w:rPr>
    </w:lvl>
    <w:lvl w:ilvl="1" w:tplc="4350B450">
      <w:numFmt w:val="bullet"/>
      <w:lvlText w:val="•"/>
      <w:lvlJc w:val="left"/>
      <w:pPr>
        <w:ind w:left="1204" w:hanging="120"/>
      </w:pPr>
      <w:rPr>
        <w:rFonts w:hint="default"/>
        <w:lang w:val="fr-FR" w:eastAsia="en-US" w:bidi="ar-SA"/>
      </w:rPr>
    </w:lvl>
    <w:lvl w:ilvl="2" w:tplc="FFF4E73A">
      <w:numFmt w:val="bullet"/>
      <w:lvlText w:val="•"/>
      <w:lvlJc w:val="left"/>
      <w:pPr>
        <w:ind w:left="2169" w:hanging="120"/>
      </w:pPr>
      <w:rPr>
        <w:rFonts w:hint="default"/>
        <w:lang w:val="fr-FR" w:eastAsia="en-US" w:bidi="ar-SA"/>
      </w:rPr>
    </w:lvl>
    <w:lvl w:ilvl="3" w:tplc="3334A43E">
      <w:numFmt w:val="bullet"/>
      <w:lvlText w:val="•"/>
      <w:lvlJc w:val="left"/>
      <w:pPr>
        <w:ind w:left="3133" w:hanging="120"/>
      </w:pPr>
      <w:rPr>
        <w:rFonts w:hint="default"/>
        <w:lang w:val="fr-FR" w:eastAsia="en-US" w:bidi="ar-SA"/>
      </w:rPr>
    </w:lvl>
    <w:lvl w:ilvl="4" w:tplc="6A386842">
      <w:numFmt w:val="bullet"/>
      <w:lvlText w:val="•"/>
      <w:lvlJc w:val="left"/>
      <w:pPr>
        <w:ind w:left="4098" w:hanging="120"/>
      </w:pPr>
      <w:rPr>
        <w:rFonts w:hint="default"/>
        <w:lang w:val="fr-FR" w:eastAsia="en-US" w:bidi="ar-SA"/>
      </w:rPr>
    </w:lvl>
    <w:lvl w:ilvl="5" w:tplc="30EA0630">
      <w:numFmt w:val="bullet"/>
      <w:lvlText w:val="•"/>
      <w:lvlJc w:val="left"/>
      <w:pPr>
        <w:ind w:left="5063" w:hanging="120"/>
      </w:pPr>
      <w:rPr>
        <w:rFonts w:hint="default"/>
        <w:lang w:val="fr-FR" w:eastAsia="en-US" w:bidi="ar-SA"/>
      </w:rPr>
    </w:lvl>
    <w:lvl w:ilvl="6" w:tplc="CA7C71FA">
      <w:numFmt w:val="bullet"/>
      <w:lvlText w:val="•"/>
      <w:lvlJc w:val="left"/>
      <w:pPr>
        <w:ind w:left="6027" w:hanging="120"/>
      </w:pPr>
      <w:rPr>
        <w:rFonts w:hint="default"/>
        <w:lang w:val="fr-FR" w:eastAsia="en-US" w:bidi="ar-SA"/>
      </w:rPr>
    </w:lvl>
    <w:lvl w:ilvl="7" w:tplc="E96C7314">
      <w:numFmt w:val="bullet"/>
      <w:lvlText w:val="•"/>
      <w:lvlJc w:val="left"/>
      <w:pPr>
        <w:ind w:left="6992" w:hanging="120"/>
      </w:pPr>
      <w:rPr>
        <w:rFonts w:hint="default"/>
        <w:lang w:val="fr-FR" w:eastAsia="en-US" w:bidi="ar-SA"/>
      </w:rPr>
    </w:lvl>
    <w:lvl w:ilvl="8" w:tplc="58D09266">
      <w:numFmt w:val="bullet"/>
      <w:lvlText w:val="•"/>
      <w:lvlJc w:val="left"/>
      <w:pPr>
        <w:ind w:left="7957" w:hanging="120"/>
      </w:pPr>
      <w:rPr>
        <w:rFonts w:hint="default"/>
        <w:lang w:val="fr-FR" w:eastAsia="en-US" w:bidi="ar-SA"/>
      </w:rPr>
    </w:lvl>
  </w:abstractNum>
  <w:abstractNum w:abstractNumId="2">
    <w:nsid w:val="58A902EC"/>
    <w:multiLevelType w:val="hybridMultilevel"/>
    <w:tmpl w:val="9EEC3880"/>
    <w:lvl w:ilvl="0" w:tplc="D35891FC">
      <w:numFmt w:val="bullet"/>
      <w:lvlText w:val="•"/>
      <w:lvlJc w:val="left"/>
      <w:pPr>
        <w:ind w:left="821" w:hanging="284"/>
      </w:pPr>
      <w:rPr>
        <w:rFonts w:ascii="Trebuchet MS" w:eastAsia="Trebuchet MS" w:hAnsi="Trebuchet MS" w:cs="Trebuchet MS" w:hint="default"/>
        <w:w w:val="67"/>
        <w:sz w:val="24"/>
        <w:szCs w:val="24"/>
        <w:lang w:val="fr-FR" w:eastAsia="en-US" w:bidi="ar-SA"/>
      </w:rPr>
    </w:lvl>
    <w:lvl w:ilvl="1" w:tplc="0694C936">
      <w:numFmt w:val="bullet"/>
      <w:lvlText w:val="•"/>
      <w:lvlJc w:val="left"/>
      <w:pPr>
        <w:ind w:left="1726" w:hanging="284"/>
      </w:pPr>
      <w:rPr>
        <w:rFonts w:hint="default"/>
        <w:lang w:val="fr-FR" w:eastAsia="en-US" w:bidi="ar-SA"/>
      </w:rPr>
    </w:lvl>
    <w:lvl w:ilvl="2" w:tplc="CF1860E0">
      <w:numFmt w:val="bullet"/>
      <w:lvlText w:val="•"/>
      <w:lvlJc w:val="left"/>
      <w:pPr>
        <w:ind w:left="2633" w:hanging="284"/>
      </w:pPr>
      <w:rPr>
        <w:rFonts w:hint="default"/>
        <w:lang w:val="fr-FR" w:eastAsia="en-US" w:bidi="ar-SA"/>
      </w:rPr>
    </w:lvl>
    <w:lvl w:ilvl="3" w:tplc="04FEC00E">
      <w:numFmt w:val="bullet"/>
      <w:lvlText w:val="•"/>
      <w:lvlJc w:val="left"/>
      <w:pPr>
        <w:ind w:left="3539" w:hanging="284"/>
      </w:pPr>
      <w:rPr>
        <w:rFonts w:hint="default"/>
        <w:lang w:val="fr-FR" w:eastAsia="en-US" w:bidi="ar-SA"/>
      </w:rPr>
    </w:lvl>
    <w:lvl w:ilvl="4" w:tplc="914CB124">
      <w:numFmt w:val="bullet"/>
      <w:lvlText w:val="•"/>
      <w:lvlJc w:val="left"/>
      <w:pPr>
        <w:ind w:left="4446" w:hanging="284"/>
      </w:pPr>
      <w:rPr>
        <w:rFonts w:hint="default"/>
        <w:lang w:val="fr-FR" w:eastAsia="en-US" w:bidi="ar-SA"/>
      </w:rPr>
    </w:lvl>
    <w:lvl w:ilvl="5" w:tplc="1E74CD76">
      <w:numFmt w:val="bullet"/>
      <w:lvlText w:val="•"/>
      <w:lvlJc w:val="left"/>
      <w:pPr>
        <w:ind w:left="5353" w:hanging="284"/>
      </w:pPr>
      <w:rPr>
        <w:rFonts w:hint="default"/>
        <w:lang w:val="fr-FR" w:eastAsia="en-US" w:bidi="ar-SA"/>
      </w:rPr>
    </w:lvl>
    <w:lvl w:ilvl="6" w:tplc="C4DCC81A">
      <w:numFmt w:val="bullet"/>
      <w:lvlText w:val="•"/>
      <w:lvlJc w:val="left"/>
      <w:pPr>
        <w:ind w:left="6259" w:hanging="284"/>
      </w:pPr>
      <w:rPr>
        <w:rFonts w:hint="default"/>
        <w:lang w:val="fr-FR" w:eastAsia="en-US" w:bidi="ar-SA"/>
      </w:rPr>
    </w:lvl>
    <w:lvl w:ilvl="7" w:tplc="46967984">
      <w:numFmt w:val="bullet"/>
      <w:lvlText w:val="•"/>
      <w:lvlJc w:val="left"/>
      <w:pPr>
        <w:ind w:left="7166" w:hanging="284"/>
      </w:pPr>
      <w:rPr>
        <w:rFonts w:hint="default"/>
        <w:lang w:val="fr-FR" w:eastAsia="en-US" w:bidi="ar-SA"/>
      </w:rPr>
    </w:lvl>
    <w:lvl w:ilvl="8" w:tplc="3BC8E808">
      <w:numFmt w:val="bullet"/>
      <w:lvlText w:val="•"/>
      <w:lvlJc w:val="left"/>
      <w:pPr>
        <w:ind w:left="8073" w:hanging="284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3B14"/>
    <w:rsid w:val="00013B03"/>
    <w:rsid w:val="0001760C"/>
    <w:rsid w:val="0002766A"/>
    <w:rsid w:val="000B48BD"/>
    <w:rsid w:val="000F362D"/>
    <w:rsid w:val="001218EE"/>
    <w:rsid w:val="00123B14"/>
    <w:rsid w:val="00162D18"/>
    <w:rsid w:val="00180E03"/>
    <w:rsid w:val="001C7F1A"/>
    <w:rsid w:val="002211B4"/>
    <w:rsid w:val="00227832"/>
    <w:rsid w:val="002542AA"/>
    <w:rsid w:val="00266CD1"/>
    <w:rsid w:val="002D37FE"/>
    <w:rsid w:val="00311DF8"/>
    <w:rsid w:val="003A05B1"/>
    <w:rsid w:val="003B4F05"/>
    <w:rsid w:val="003C6CEC"/>
    <w:rsid w:val="003D11D2"/>
    <w:rsid w:val="00405365"/>
    <w:rsid w:val="0041495E"/>
    <w:rsid w:val="004810B5"/>
    <w:rsid w:val="004854EC"/>
    <w:rsid w:val="004909FD"/>
    <w:rsid w:val="00497766"/>
    <w:rsid w:val="004B615F"/>
    <w:rsid w:val="004E067F"/>
    <w:rsid w:val="004F0FE2"/>
    <w:rsid w:val="005037FF"/>
    <w:rsid w:val="0052558E"/>
    <w:rsid w:val="00545A71"/>
    <w:rsid w:val="00582A11"/>
    <w:rsid w:val="00586001"/>
    <w:rsid w:val="00587573"/>
    <w:rsid w:val="005A6204"/>
    <w:rsid w:val="00623BF2"/>
    <w:rsid w:val="00673B6D"/>
    <w:rsid w:val="006B4EB4"/>
    <w:rsid w:val="0073247B"/>
    <w:rsid w:val="007D6B92"/>
    <w:rsid w:val="0082185F"/>
    <w:rsid w:val="008337F8"/>
    <w:rsid w:val="008920B2"/>
    <w:rsid w:val="008E6031"/>
    <w:rsid w:val="008F7488"/>
    <w:rsid w:val="00923287"/>
    <w:rsid w:val="00960074"/>
    <w:rsid w:val="00980D6F"/>
    <w:rsid w:val="009C7F23"/>
    <w:rsid w:val="00A37B2B"/>
    <w:rsid w:val="00AD2398"/>
    <w:rsid w:val="00B12570"/>
    <w:rsid w:val="00B67B30"/>
    <w:rsid w:val="00B718D8"/>
    <w:rsid w:val="00BA7A23"/>
    <w:rsid w:val="00BB168E"/>
    <w:rsid w:val="00BC60A2"/>
    <w:rsid w:val="00CB1C3D"/>
    <w:rsid w:val="00CC09B1"/>
    <w:rsid w:val="00CC6A28"/>
    <w:rsid w:val="00CD7C32"/>
    <w:rsid w:val="00D0791E"/>
    <w:rsid w:val="00D237E5"/>
    <w:rsid w:val="00D2791F"/>
    <w:rsid w:val="00D32017"/>
    <w:rsid w:val="00D67D51"/>
    <w:rsid w:val="00D7559F"/>
    <w:rsid w:val="00DA5497"/>
    <w:rsid w:val="00DC559D"/>
    <w:rsid w:val="00DF5FB3"/>
    <w:rsid w:val="00E1727A"/>
    <w:rsid w:val="00E818D1"/>
    <w:rsid w:val="00F069FA"/>
    <w:rsid w:val="00FA4E41"/>
    <w:rsid w:val="00FB06BF"/>
    <w:rsid w:val="00FD1788"/>
    <w:rsid w:val="00FE465A"/>
    <w:rsid w:val="00FE4BA6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3B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44"/>
      <w:ind w:left="3897" w:right="410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2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7Car">
    <w:name w:val="Titre 7 Car"/>
    <w:basedOn w:val="Policepardfaut"/>
    <w:link w:val="Titre7"/>
    <w:uiPriority w:val="9"/>
    <w:semiHidden/>
    <w:rsid w:val="00013B03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A05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05B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A05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05B1"/>
    <w:rPr>
      <w:rFonts w:ascii="Calibri" w:eastAsia="Calibri" w:hAnsi="Calibri" w:cs="Calibri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3B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44"/>
      <w:ind w:left="3897" w:right="410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2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7Car">
    <w:name w:val="Titre 7 Car"/>
    <w:basedOn w:val="Policepardfaut"/>
    <w:link w:val="Titre7"/>
    <w:uiPriority w:val="9"/>
    <w:semiHidden/>
    <w:rsid w:val="00013B03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A05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05B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A05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05B1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villemonteix</dc:creator>
  <cp:lastModifiedBy>Stephane Fons</cp:lastModifiedBy>
  <cp:revision>2</cp:revision>
  <dcterms:created xsi:type="dcterms:W3CDTF">2021-10-01T06:46:00Z</dcterms:created>
  <dcterms:modified xsi:type="dcterms:W3CDTF">2021-10-01T06:46:00Z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2021-09-29T00:00:00Z</vt:filetime>
  </property>
</Properties>
</file>